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ptos" w:hAnsi="Aptos"/>
          <w:b/>
          <w:color w:val="9A4A35"/>
          <w:sz w:val="20"/>
        </w:rPr>
        <w:t>SMS – SUSANNE MACHT SCHULE</w:t>
      </w:r>
    </w:p>
    <w:p>
      <w:pPr>
        <w:pStyle w:val="Title"/>
        <w:jc w:val="center"/>
      </w:pPr>
      <w:r>
        <w:t>Leonardo-Materialien: Lösungshinweise</w:t>
      </w:r>
    </w:p>
    <w:p>
      <w:pPr>
        <w:pStyle w:val="Subtitle"/>
        <w:spacing w:after="280"/>
        <w:jc w:val="center"/>
      </w:pPr>
      <w:r>
        <w:t>Erwartungshorizont, Quellenkritik und Moderationshilfe</w:t>
      </w:r>
    </w:p>
    <w:p>
      <w:pPr>
        <w:pStyle w:val="Heading1"/>
      </w:pPr>
      <w:r>
        <w:t>Grundsatz</w:t>
      </w:r>
    </w:p>
    <w:p>
      <w:r>
        <w:t>Bei offenen Bildaufgaben gibt es nicht nur eine richtige Formulierung. Bewertet werden Genauigkeit der Beobachtung, nachvollziehbare Deutung, Kennzeichnung erfundener Aussagen und die Fähigkeit zum Perspektivwechsel.</w:t>
      </w:r>
    </w:p>
    <w:p>
      <w:pPr>
        <w:pStyle w:val="Heading1"/>
      </w:pPr>
      <w:r>
        <w:t>Beobachtung und Deutung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8" w:color="D9C6B7"/>
          <w:left w:val="single" w:sz="8" w:color="D9C6B7"/>
          <w:bottom w:val="single" w:sz="8" w:color="D9C6B7"/>
          <w:right w:val="single" w:sz="8" w:color="D9C6B7"/>
          <w:insideH w:val="single" w:sz="8" w:color="D9C6B7"/>
          <w:insideV w:val="single" w:sz="8" w:color="D9C6B7"/>
        </w:tblBorders>
      </w:tblPr>
      <w:tblGrid>
        <w:gridCol w:w="10086"/>
      </w:tblGrid>
      <w:tr>
        <w:tc>
          <w:tcPr>
            <w:tcW w:type="dxa" w:w="10086"/>
            <w:shd w:fill="F4EEE4"/>
            <w:tcMar>
              <w:top w:w="180" w:type="dxa"/>
              <w:start w:w="200" w:type="dxa"/>
              <w:bottom w:w="180" w:type="dxa"/>
              <w:end w:w="200" w:type="dxa"/>
            </w:tcMar>
          </w:tcPr>
          <w:p>
            <w:r>
              <w:rPr>
                <w:rFonts w:ascii="Aptos" w:hAnsi="Aptos"/>
                <w:b/>
                <w:color w:val="9A4A35"/>
                <w:sz w:val="26"/>
              </w:rPr>
              <w:t>Beobachtung</w:t>
              <w:br/>
            </w:r>
            <w:r>
              <w:rPr>
                <w:rFonts w:ascii="Aptos" w:hAnsi="Aptos"/>
                <w:color w:val="2D241F"/>
                <w:sz w:val="26"/>
              </w:rPr>
              <w:t>sichtbar und überprüfbar: „Die Figur blickt leicht zur Seite.“ „Im Arm hält sie ein Tier.“ „Die Hände fehlen im heutigen Bildformat.“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8" w:color="D9C6B7"/>
          <w:left w:val="single" w:sz="8" w:color="D9C6B7"/>
          <w:bottom w:val="single" w:sz="8" w:color="D9C6B7"/>
          <w:right w:val="single" w:sz="8" w:color="D9C6B7"/>
          <w:insideH w:val="single" w:sz="8" w:color="D9C6B7"/>
          <w:insideV w:val="single" w:sz="8" w:color="D9C6B7"/>
        </w:tblBorders>
      </w:tblPr>
      <w:tblGrid>
        <w:gridCol w:w="10086"/>
      </w:tblGrid>
      <w:tr>
        <w:tc>
          <w:tcPr>
            <w:tcW w:type="dxa" w:w="10086"/>
            <w:shd w:fill="F4EEE4"/>
            <w:tcMar>
              <w:top w:w="180" w:type="dxa"/>
              <w:start w:w="200" w:type="dxa"/>
              <w:bottom w:w="180" w:type="dxa"/>
              <w:end w:w="200" w:type="dxa"/>
            </w:tcMar>
          </w:tcPr>
          <w:p>
            <w:r>
              <w:rPr>
                <w:rFonts w:ascii="Aptos" w:hAnsi="Aptos"/>
                <w:b/>
                <w:color w:val="9A4A35"/>
                <w:sz w:val="26"/>
              </w:rPr>
              <w:t>Deutung</w:t>
              <w:br/>
            </w:r>
            <w:r>
              <w:rPr>
                <w:rFonts w:ascii="Aptos" w:hAnsi="Aptos"/>
                <w:color w:val="2D241F"/>
                <w:sz w:val="26"/>
              </w:rPr>
              <w:t>begründete, aber nicht direkt sichtbare Aussage: „Sie wirkt kontrolliert.“ „Das Tier verweist auf Reinheit oder den Namen des Auftraggebers.“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8" w:color="D9C6B7"/>
          <w:left w:val="single" w:sz="8" w:color="D9C6B7"/>
          <w:bottom w:val="single" w:sz="8" w:color="D9C6B7"/>
          <w:right w:val="single" w:sz="8" w:color="D9C6B7"/>
          <w:insideH w:val="single" w:sz="8" w:color="D9C6B7"/>
          <w:insideV w:val="single" w:sz="8" w:color="D9C6B7"/>
        </w:tblBorders>
      </w:tblPr>
      <w:tblGrid>
        <w:gridCol w:w="10086"/>
      </w:tblGrid>
      <w:tr>
        <w:tc>
          <w:tcPr>
            <w:tcW w:type="dxa" w:w="10086"/>
            <w:shd w:fill="F4EEE4"/>
            <w:tcMar>
              <w:top w:w="180" w:type="dxa"/>
              <w:start w:w="200" w:type="dxa"/>
              <w:bottom w:w="180" w:type="dxa"/>
              <w:end w:w="200" w:type="dxa"/>
            </w:tcMar>
          </w:tcPr>
          <w:p>
            <w:r>
              <w:rPr>
                <w:rFonts w:ascii="Aptos" w:hAnsi="Aptos"/>
                <w:b/>
                <w:color w:val="9A4A35"/>
                <w:sz w:val="26"/>
              </w:rPr>
              <w:t>Erfindung</w:t>
              <w:br/>
            </w:r>
            <w:r>
              <w:rPr>
                <w:rFonts w:ascii="Aptos" w:hAnsi="Aptos"/>
                <w:color w:val="2D241F"/>
                <w:sz w:val="26"/>
              </w:rPr>
              <w:t>bewusst künstlerische Stimme: „Ich habe Leonardo gesagt, er solle meine Hände nicht abschneiden.“ Diese Aussage darf kreativ sein, muss aber als Erfindung kenntlich bleiben.</w:t>
            </w:r>
          </w:p>
        </w:tc>
      </w:tr>
    </w:tbl>
    <w:p/>
    <w:p>
      <w:pPr>
        <w:pStyle w:val="Heading1"/>
      </w:pPr>
      <w:r>
        <w:t>Mögliche fachliche Anknüpfungen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color="D9C6B7"/>
          <w:left w:val="single" w:sz="8" w:color="D9C6B7"/>
          <w:bottom w:val="single" w:sz="8" w:color="D9C6B7"/>
          <w:right w:val="single" w:sz="8" w:color="D9C6B7"/>
          <w:insideH w:val="single" w:sz="8" w:color="D9C6B7"/>
          <w:insideV w:val="single" w:sz="8" w:color="D9C6B7"/>
        </w:tblBorders>
      </w:tblPr>
      <w:tblGrid>
        <w:gridCol w:w="5043"/>
        <w:gridCol w:w="5043"/>
      </w:tblGrid>
      <w:tr>
        <w:tc>
          <w:tcPr>
            <w:tcW w:type="dxa" w:w="2948"/>
            <w:tcMar>
              <w:top w:w="170" w:type="dxa"/>
              <w:start w:w="170" w:type="dxa"/>
              <w:bottom w:w="170" w:type="dxa"/>
              <w:end w:w="170" w:type="dxa"/>
            </w:tcMar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602000" cy="2492712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monalisa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2000" cy="249271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350"/>
            <w:tcMar>
              <w:top w:w="170" w:type="dxa"/>
              <w:start w:w="170" w:type="dxa"/>
              <w:bottom w:w="170" w:type="dxa"/>
              <w:end w:w="170" w:type="dxa"/>
            </w:tcMar>
            <w:vAlign w:val="center"/>
            <w:shd w:fill="FCFAF7"/>
          </w:tcPr>
          <w:p>
            <w:pPr>
              <w:spacing w:after="100"/>
            </w:pPr>
            <w:r>
              <w:rPr>
                <w:rFonts w:ascii="Georgia" w:hAnsi="Georgia"/>
                <w:b/>
                <w:color w:val="9A4A35"/>
                <w:sz w:val="34"/>
              </w:rPr>
              <w:t>Mona Lisa</w:t>
            </w:r>
          </w:p>
          <w:p>
            <w:pPr>
              <w:spacing w:after="100" w:line="288" w:lineRule="auto"/>
            </w:pPr>
            <w:r>
              <w:rPr>
                <w:rFonts w:ascii="Aptos" w:hAnsi="Aptos"/>
                <w:b/>
                <w:color w:val="2D241F"/>
                <w:sz w:val="26"/>
              </w:rPr>
              <w:t xml:space="preserve">Möglicher Erwartungshorizont: </w:t>
            </w:r>
            <w:r>
              <w:rPr>
                <w:rFonts w:ascii="Aptos" w:hAnsi="Aptos"/>
                <w:color w:val="2D241F"/>
                <w:sz w:val="26"/>
              </w:rPr>
              <w:t>Sfumato, Blickwirkung, Ruhm, Reproduktionen und Erwartungsdruck.</w:t>
            </w:r>
          </w:p>
          <w:p>
            <w:pPr>
              <w:spacing w:after="100" w:line="288" w:lineRule="auto"/>
            </w:pPr>
            <w:r>
              <w:rPr>
                <w:rFonts w:ascii="Aptos" w:hAnsi="Aptos"/>
                <w:b/>
                <w:color w:val="2D241F"/>
                <w:sz w:val="26"/>
              </w:rPr>
              <w:t xml:space="preserve">Hinweis für die Moderation: </w:t>
            </w:r>
            <w:r>
              <w:rPr>
                <w:rFonts w:ascii="Aptos" w:hAnsi="Aptos"/>
                <w:color w:val="2D241F"/>
                <w:sz w:val="26"/>
              </w:rPr>
              <w:t>Nicht jede Deutung muss bestätigt werden. Entscheidend ist, ob sie am Bild begründet und als Deutung kenntlich gemacht wird.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color="D9C6B7"/>
          <w:left w:val="single" w:sz="8" w:color="D9C6B7"/>
          <w:bottom w:val="single" w:sz="8" w:color="D9C6B7"/>
          <w:right w:val="single" w:sz="8" w:color="D9C6B7"/>
          <w:insideH w:val="single" w:sz="8" w:color="D9C6B7"/>
          <w:insideV w:val="single" w:sz="8" w:color="D9C6B7"/>
        </w:tblBorders>
      </w:tblPr>
      <w:tblGrid>
        <w:gridCol w:w="5043"/>
        <w:gridCol w:w="5043"/>
      </w:tblGrid>
      <w:tr>
        <w:tc>
          <w:tcPr>
            <w:tcW w:type="dxa" w:w="2948"/>
            <w:tcMar>
              <w:top w:w="170" w:type="dxa"/>
              <w:start w:w="170" w:type="dxa"/>
              <w:bottom w:w="170" w:type="dxa"/>
              <w:end w:w="170" w:type="dxa"/>
            </w:tcMar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602000" cy="2185128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ermelin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2000" cy="218512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350"/>
            <w:tcMar>
              <w:top w:w="170" w:type="dxa"/>
              <w:start w:w="170" w:type="dxa"/>
              <w:bottom w:w="170" w:type="dxa"/>
              <w:end w:w="170" w:type="dxa"/>
            </w:tcMar>
            <w:vAlign w:val="center"/>
            <w:shd w:fill="FCFAF7"/>
          </w:tcPr>
          <w:p>
            <w:pPr>
              <w:spacing w:after="100"/>
            </w:pPr>
            <w:r>
              <w:rPr>
                <w:rFonts w:ascii="Georgia" w:hAnsi="Georgia"/>
                <w:b/>
                <w:color w:val="9A4A35"/>
                <w:sz w:val="34"/>
              </w:rPr>
              <w:t>Cecilia Gallerani</w:t>
            </w:r>
          </w:p>
          <w:p>
            <w:pPr>
              <w:spacing w:after="100" w:line="288" w:lineRule="auto"/>
            </w:pPr>
            <w:r>
              <w:rPr>
                <w:rFonts w:ascii="Aptos" w:hAnsi="Aptos"/>
                <w:b/>
                <w:color w:val="2D241F"/>
                <w:sz w:val="26"/>
              </w:rPr>
              <w:t xml:space="preserve">Möglicher Erwartungshorizont: </w:t>
            </w:r>
            <w:r>
              <w:rPr>
                <w:rFonts w:ascii="Aptos" w:hAnsi="Aptos"/>
                <w:color w:val="2D241F"/>
                <w:sz w:val="26"/>
              </w:rPr>
              <w:t>Hermelin als Symbol; Identität der Dargestellten; spätere Bildtitel.</w:t>
            </w:r>
          </w:p>
          <w:p>
            <w:pPr>
              <w:spacing w:after="100" w:line="288" w:lineRule="auto"/>
            </w:pPr>
            <w:r>
              <w:rPr>
                <w:rFonts w:ascii="Aptos" w:hAnsi="Aptos"/>
                <w:b/>
                <w:color w:val="2D241F"/>
                <w:sz w:val="26"/>
              </w:rPr>
              <w:t xml:space="preserve">Hinweis für die Moderation: </w:t>
            </w:r>
            <w:r>
              <w:rPr>
                <w:rFonts w:ascii="Aptos" w:hAnsi="Aptos"/>
                <w:color w:val="2D241F"/>
                <w:sz w:val="26"/>
              </w:rPr>
              <w:t>Nicht jede Deutung muss bestätigt werden. Entscheidend ist, ob sie am Bild begründet und als Deutung kenntlich gemacht wird.</w:t>
            </w:r>
          </w:p>
        </w:tc>
      </w:tr>
    </w:tbl>
    <w:p>
      <w:pPr>
        <w:spacing w:after="40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color="D9C6B7"/>
          <w:left w:val="single" w:sz="8" w:color="D9C6B7"/>
          <w:bottom w:val="single" w:sz="8" w:color="D9C6B7"/>
          <w:right w:val="single" w:sz="8" w:color="D9C6B7"/>
          <w:insideH w:val="single" w:sz="8" w:color="D9C6B7"/>
          <w:insideV w:val="single" w:sz="8" w:color="D9C6B7"/>
        </w:tblBorders>
      </w:tblPr>
      <w:tblGrid>
        <w:gridCol w:w="5043"/>
        <w:gridCol w:w="5043"/>
      </w:tblGrid>
      <w:tr>
        <w:tc>
          <w:tcPr>
            <w:tcW w:type="dxa" w:w="2948"/>
            <w:tcMar>
              <w:top w:w="170" w:type="dxa"/>
              <w:start w:w="170" w:type="dxa"/>
              <w:bottom w:w="170" w:type="dxa"/>
              <w:end w:w="170" w:type="dxa"/>
            </w:tcMar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602000" cy="1685304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enci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2000" cy="168530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350"/>
            <w:tcMar>
              <w:top w:w="170" w:type="dxa"/>
              <w:start w:w="170" w:type="dxa"/>
              <w:bottom w:w="170" w:type="dxa"/>
              <w:end w:w="170" w:type="dxa"/>
            </w:tcMar>
            <w:vAlign w:val="center"/>
            <w:shd w:fill="FCFAF7"/>
          </w:tcPr>
          <w:p>
            <w:pPr>
              <w:spacing w:after="100"/>
            </w:pPr>
            <w:r>
              <w:rPr>
                <w:rFonts w:ascii="Georgia" w:hAnsi="Georgia"/>
                <w:b/>
                <w:color w:val="9A4A35"/>
                <w:sz w:val="34"/>
              </w:rPr>
              <w:t>Ginevra de’ Benci</w:t>
            </w:r>
          </w:p>
          <w:p>
            <w:pPr>
              <w:spacing w:after="100" w:line="288" w:lineRule="auto"/>
            </w:pPr>
            <w:r>
              <w:rPr>
                <w:rFonts w:ascii="Aptos" w:hAnsi="Aptos"/>
                <w:b/>
                <w:color w:val="2D241F"/>
                <w:sz w:val="26"/>
              </w:rPr>
              <w:t xml:space="preserve">Möglicher Erwartungshorizont: </w:t>
            </w:r>
            <w:r>
              <w:rPr>
                <w:rFonts w:ascii="Aptos" w:hAnsi="Aptos"/>
                <w:color w:val="2D241F"/>
                <w:sz w:val="26"/>
              </w:rPr>
              <w:t>Wacholder als Namensspiel; beschnittenes Format; fehlende Hände.</w:t>
            </w:r>
          </w:p>
          <w:p>
            <w:pPr>
              <w:spacing w:after="100" w:line="288" w:lineRule="auto"/>
            </w:pPr>
            <w:r>
              <w:rPr>
                <w:rFonts w:ascii="Aptos" w:hAnsi="Aptos"/>
                <w:b/>
                <w:color w:val="2D241F"/>
                <w:sz w:val="26"/>
              </w:rPr>
              <w:t xml:space="preserve">Hinweis für die Moderation: </w:t>
            </w:r>
            <w:r>
              <w:rPr>
                <w:rFonts w:ascii="Aptos" w:hAnsi="Aptos"/>
                <w:color w:val="2D241F"/>
                <w:sz w:val="26"/>
              </w:rPr>
              <w:t>Nicht jede Deutung muss bestätigt werden. Entscheidend ist, ob sie am Bild begründet und als Deutung kenntlich gemacht wird.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color="D9C6B7"/>
          <w:left w:val="single" w:sz="8" w:color="D9C6B7"/>
          <w:bottom w:val="single" w:sz="8" w:color="D9C6B7"/>
          <w:right w:val="single" w:sz="8" w:color="D9C6B7"/>
          <w:insideH w:val="single" w:sz="8" w:color="D9C6B7"/>
          <w:insideV w:val="single" w:sz="8" w:color="D9C6B7"/>
        </w:tblBorders>
      </w:tblPr>
      <w:tblGrid>
        <w:gridCol w:w="5043"/>
        <w:gridCol w:w="5043"/>
      </w:tblGrid>
      <w:tr>
        <w:tc>
          <w:tcPr>
            <w:tcW w:type="dxa" w:w="2948"/>
            <w:tcMar>
              <w:top w:w="170" w:type="dxa"/>
              <w:start w:w="170" w:type="dxa"/>
              <w:bottom w:w="170" w:type="dxa"/>
              <w:end w:w="170" w:type="dxa"/>
            </w:tcMar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602000" cy="2127456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nelke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2000" cy="212745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350"/>
            <w:tcMar>
              <w:top w:w="170" w:type="dxa"/>
              <w:start w:w="170" w:type="dxa"/>
              <w:bottom w:w="170" w:type="dxa"/>
              <w:end w:w="170" w:type="dxa"/>
            </w:tcMar>
            <w:vAlign w:val="center"/>
            <w:shd w:fill="FCFAF7"/>
          </w:tcPr>
          <w:p>
            <w:pPr>
              <w:spacing w:after="100"/>
            </w:pPr>
            <w:r>
              <w:rPr>
                <w:rFonts w:ascii="Georgia" w:hAnsi="Georgia"/>
                <w:b/>
                <w:color w:val="9A4A35"/>
                <w:sz w:val="34"/>
              </w:rPr>
              <w:t>Madonna mit der Nelke</w:t>
            </w:r>
          </w:p>
          <w:p>
            <w:pPr>
              <w:spacing w:after="100" w:line="288" w:lineRule="auto"/>
            </w:pPr>
            <w:r>
              <w:rPr>
                <w:rFonts w:ascii="Aptos" w:hAnsi="Aptos"/>
                <w:b/>
                <w:color w:val="2D241F"/>
                <w:sz w:val="26"/>
              </w:rPr>
              <w:t xml:space="preserve">Möglicher Erwartungshorizont: </w:t>
            </w:r>
            <w:r>
              <w:rPr>
                <w:rFonts w:ascii="Aptos" w:hAnsi="Aptos"/>
                <w:color w:val="2D241F"/>
                <w:sz w:val="26"/>
              </w:rPr>
              <w:t>Symbolik der Nelke; Mutter-Kind-Beziehung; religiöse und alltägliche Lesarten.</w:t>
            </w:r>
          </w:p>
          <w:p>
            <w:pPr>
              <w:spacing w:after="100" w:line="288" w:lineRule="auto"/>
            </w:pPr>
            <w:r>
              <w:rPr>
                <w:rFonts w:ascii="Aptos" w:hAnsi="Aptos"/>
                <w:b/>
                <w:color w:val="2D241F"/>
                <w:sz w:val="26"/>
              </w:rPr>
              <w:t xml:space="preserve">Hinweis für die Moderation: </w:t>
            </w:r>
            <w:r>
              <w:rPr>
                <w:rFonts w:ascii="Aptos" w:hAnsi="Aptos"/>
                <w:color w:val="2D241F"/>
                <w:sz w:val="26"/>
              </w:rPr>
              <w:t>Nicht jede Deutung muss bestätigt werden. Entscheidend ist, ob sie am Bild begründet und als Deutung kenntlich gemacht wird.</w:t>
            </w:r>
          </w:p>
        </w:tc>
      </w:tr>
    </w:tbl>
    <w:p>
      <w:pPr>
        <w:spacing w:after="40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color="D9C6B7"/>
          <w:left w:val="single" w:sz="8" w:color="D9C6B7"/>
          <w:bottom w:val="single" w:sz="8" w:color="D9C6B7"/>
          <w:right w:val="single" w:sz="8" w:color="D9C6B7"/>
          <w:insideH w:val="single" w:sz="8" w:color="D9C6B7"/>
          <w:insideV w:val="single" w:sz="8" w:color="D9C6B7"/>
        </w:tblBorders>
      </w:tblPr>
      <w:tblGrid>
        <w:gridCol w:w="5043"/>
        <w:gridCol w:w="5043"/>
      </w:tblGrid>
      <w:tr>
        <w:tc>
          <w:tcPr>
            <w:tcW w:type="dxa" w:w="2948"/>
            <w:tcMar>
              <w:top w:w="170" w:type="dxa"/>
              <w:start w:w="170" w:type="dxa"/>
              <w:bottom w:w="170" w:type="dxa"/>
              <w:end w:w="170" w:type="dxa"/>
            </w:tcMar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602000" cy="2499120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felsengrotte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2000" cy="249912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350"/>
            <w:tcMar>
              <w:top w:w="170" w:type="dxa"/>
              <w:start w:w="170" w:type="dxa"/>
              <w:bottom w:w="170" w:type="dxa"/>
              <w:end w:w="170" w:type="dxa"/>
            </w:tcMar>
            <w:vAlign w:val="center"/>
            <w:shd w:fill="FCFAF7"/>
          </w:tcPr>
          <w:p>
            <w:pPr>
              <w:spacing w:after="100"/>
            </w:pPr>
            <w:r>
              <w:rPr>
                <w:rFonts w:ascii="Georgia" w:hAnsi="Georgia"/>
                <w:b/>
                <w:color w:val="9A4A35"/>
                <w:sz w:val="34"/>
              </w:rPr>
              <w:t>Felsengrottenmadonna</w:t>
            </w:r>
          </w:p>
          <w:p>
            <w:pPr>
              <w:spacing w:after="100" w:line="288" w:lineRule="auto"/>
            </w:pPr>
            <w:r>
              <w:rPr>
                <w:rFonts w:ascii="Aptos" w:hAnsi="Aptos"/>
                <w:b/>
                <w:color w:val="2D241F"/>
                <w:sz w:val="26"/>
              </w:rPr>
              <w:t xml:space="preserve">Möglicher Erwartungshorizont: </w:t>
            </w:r>
            <w:r>
              <w:rPr>
                <w:rFonts w:ascii="Aptos" w:hAnsi="Aptos"/>
                <w:color w:val="2D241F"/>
                <w:sz w:val="26"/>
              </w:rPr>
              <w:t>Felsenlandschaft, Blickrichtungen, Gesten und die ungewöhnliche räumliche Inszenierung.</w:t>
            </w:r>
          </w:p>
          <w:p>
            <w:pPr>
              <w:spacing w:after="100" w:line="288" w:lineRule="auto"/>
            </w:pPr>
            <w:r>
              <w:rPr>
                <w:rFonts w:ascii="Aptos" w:hAnsi="Aptos"/>
                <w:b/>
                <w:color w:val="2D241F"/>
                <w:sz w:val="26"/>
              </w:rPr>
              <w:t xml:space="preserve">Hinweis für die Moderation: </w:t>
            </w:r>
            <w:r>
              <w:rPr>
                <w:rFonts w:ascii="Aptos" w:hAnsi="Aptos"/>
                <w:color w:val="2D241F"/>
                <w:sz w:val="26"/>
              </w:rPr>
              <w:t>Nicht jede Deutung muss bestätigt werden. Entscheidend ist, ob sie am Bild begründet und als Deutung kenntlich gemacht wird.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color="D9C6B7"/>
          <w:left w:val="single" w:sz="8" w:color="D9C6B7"/>
          <w:bottom w:val="single" w:sz="8" w:color="D9C6B7"/>
          <w:right w:val="single" w:sz="8" w:color="D9C6B7"/>
          <w:insideH w:val="single" w:sz="8" w:color="D9C6B7"/>
          <w:insideV w:val="single" w:sz="8" w:color="D9C6B7"/>
        </w:tblBorders>
      </w:tblPr>
      <w:tblGrid>
        <w:gridCol w:w="5043"/>
        <w:gridCol w:w="5043"/>
      </w:tblGrid>
      <w:tr>
        <w:tc>
          <w:tcPr>
            <w:tcW w:type="dxa" w:w="2948"/>
            <w:tcMar>
              <w:top w:w="170" w:type="dxa"/>
              <w:start w:w="170" w:type="dxa"/>
              <w:bottom w:w="170" w:type="dxa"/>
              <w:end w:w="170" w:type="dxa"/>
            </w:tcMar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602000" cy="2050560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pindel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2000" cy="205056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350"/>
            <w:tcMar>
              <w:top w:w="170" w:type="dxa"/>
              <w:start w:w="170" w:type="dxa"/>
              <w:bottom w:w="170" w:type="dxa"/>
              <w:end w:w="170" w:type="dxa"/>
            </w:tcMar>
            <w:vAlign w:val="center"/>
            <w:shd w:fill="FCFAF7"/>
          </w:tcPr>
          <w:p>
            <w:pPr>
              <w:spacing w:after="100"/>
            </w:pPr>
            <w:r>
              <w:rPr>
                <w:rFonts w:ascii="Georgia" w:hAnsi="Georgia"/>
                <w:b/>
                <w:color w:val="9A4A35"/>
                <w:sz w:val="34"/>
              </w:rPr>
              <w:t>Madonna mit der Spindel</w:t>
            </w:r>
          </w:p>
          <w:p>
            <w:pPr>
              <w:spacing w:after="100" w:line="288" w:lineRule="auto"/>
            </w:pPr>
            <w:r>
              <w:rPr>
                <w:rFonts w:ascii="Aptos" w:hAnsi="Aptos"/>
                <w:b/>
                <w:color w:val="2D241F"/>
                <w:sz w:val="26"/>
              </w:rPr>
              <w:t xml:space="preserve">Möglicher Erwartungshorizont: </w:t>
            </w:r>
            <w:r>
              <w:rPr>
                <w:rFonts w:ascii="Aptos" w:hAnsi="Aptos"/>
                <w:color w:val="2D241F"/>
                <w:sz w:val="26"/>
              </w:rPr>
              <w:t>Spindel als Kreuzzeichen; Bewegung des Kindes; Verbindung von Alltag und Passion.</w:t>
            </w:r>
          </w:p>
          <w:p>
            <w:pPr>
              <w:spacing w:after="100" w:line="288" w:lineRule="auto"/>
            </w:pPr>
            <w:r>
              <w:rPr>
                <w:rFonts w:ascii="Aptos" w:hAnsi="Aptos"/>
                <w:b/>
                <w:color w:val="2D241F"/>
                <w:sz w:val="26"/>
              </w:rPr>
              <w:t xml:space="preserve">Hinweis für die Moderation: </w:t>
            </w:r>
            <w:r>
              <w:rPr>
                <w:rFonts w:ascii="Aptos" w:hAnsi="Aptos"/>
                <w:color w:val="2D241F"/>
                <w:sz w:val="26"/>
              </w:rPr>
              <w:t>Nicht jede Deutung muss bestätigt werden. Entscheidend ist, ob sie am Bild begründet und als Deutung kenntlich gemacht wird.</w:t>
            </w:r>
          </w:p>
        </w:tc>
      </w:tr>
    </w:tbl>
    <w:p>
      <w:pPr>
        <w:spacing w:after="40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color="D9C6B7"/>
          <w:left w:val="single" w:sz="8" w:color="D9C6B7"/>
          <w:bottom w:val="single" w:sz="8" w:color="D9C6B7"/>
          <w:right w:val="single" w:sz="8" w:color="D9C6B7"/>
          <w:insideH w:val="single" w:sz="8" w:color="D9C6B7"/>
          <w:insideV w:val="single" w:sz="8" w:color="D9C6B7"/>
        </w:tblBorders>
      </w:tblPr>
      <w:tblGrid>
        <w:gridCol w:w="5043"/>
        <w:gridCol w:w="5043"/>
      </w:tblGrid>
      <w:tr>
        <w:tc>
          <w:tcPr>
            <w:tcW w:type="dxa" w:w="2948"/>
            <w:tcMar>
              <w:top w:w="170" w:type="dxa"/>
              <w:start w:w="170" w:type="dxa"/>
              <w:bottom w:w="170" w:type="dxa"/>
              <w:end w:w="170" w:type="dxa"/>
            </w:tcMar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602000" cy="2050560"/>
                  <wp:docPr id="7" name="Picture 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itta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2000" cy="205056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350"/>
            <w:tcMar>
              <w:top w:w="170" w:type="dxa"/>
              <w:start w:w="170" w:type="dxa"/>
              <w:bottom w:w="170" w:type="dxa"/>
              <w:end w:w="170" w:type="dxa"/>
            </w:tcMar>
            <w:vAlign w:val="center"/>
            <w:shd w:fill="FCFAF7"/>
          </w:tcPr>
          <w:p>
            <w:pPr>
              <w:spacing w:after="100"/>
            </w:pPr>
            <w:r>
              <w:rPr>
                <w:rFonts w:ascii="Georgia" w:hAnsi="Georgia"/>
                <w:b/>
                <w:color w:val="9A4A35"/>
                <w:sz w:val="34"/>
              </w:rPr>
              <w:t>Madonna Litta</w:t>
            </w:r>
          </w:p>
          <w:p>
            <w:pPr>
              <w:spacing w:after="100" w:line="288" w:lineRule="auto"/>
            </w:pPr>
            <w:r>
              <w:rPr>
                <w:rFonts w:ascii="Aptos" w:hAnsi="Aptos"/>
                <w:b/>
                <w:color w:val="2D241F"/>
                <w:sz w:val="26"/>
              </w:rPr>
              <w:t xml:space="preserve">Möglicher Erwartungshorizont: </w:t>
            </w:r>
            <w:r>
              <w:rPr>
                <w:rFonts w:ascii="Aptos" w:hAnsi="Aptos"/>
                <w:color w:val="2D241F"/>
                <w:sz w:val="26"/>
              </w:rPr>
              <w:t>Stillmotiv, Fürsorge, Körpernähe, Zuschreibung und Werkstattfrage.</w:t>
            </w:r>
          </w:p>
          <w:p>
            <w:pPr>
              <w:spacing w:after="100" w:line="288" w:lineRule="auto"/>
            </w:pPr>
            <w:r>
              <w:rPr>
                <w:rFonts w:ascii="Aptos" w:hAnsi="Aptos"/>
                <w:b/>
                <w:color w:val="2D241F"/>
                <w:sz w:val="26"/>
              </w:rPr>
              <w:t xml:space="preserve">Hinweis für die Moderation: </w:t>
            </w:r>
            <w:r>
              <w:rPr>
                <w:rFonts w:ascii="Aptos" w:hAnsi="Aptos"/>
                <w:color w:val="2D241F"/>
                <w:sz w:val="26"/>
              </w:rPr>
              <w:t>Nicht jede Deutung muss bestätigt werden. Entscheidend ist, ob sie am Bild begründet und als Deutung kenntlich gemacht wird.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color="D9C6B7"/>
          <w:left w:val="single" w:sz="8" w:color="D9C6B7"/>
          <w:bottom w:val="single" w:sz="8" w:color="D9C6B7"/>
          <w:right w:val="single" w:sz="8" w:color="D9C6B7"/>
          <w:insideH w:val="single" w:sz="8" w:color="D9C6B7"/>
          <w:insideV w:val="single" w:sz="8" w:color="D9C6B7"/>
        </w:tblBorders>
      </w:tblPr>
      <w:tblGrid>
        <w:gridCol w:w="5043"/>
        <w:gridCol w:w="5043"/>
      </w:tblGrid>
      <w:tr>
        <w:tc>
          <w:tcPr>
            <w:tcW w:type="dxa" w:w="2948"/>
            <w:tcMar>
              <w:top w:w="170" w:type="dxa"/>
              <w:start w:w="170" w:type="dxa"/>
              <w:bottom w:w="170" w:type="dxa"/>
              <w:end w:w="170" w:type="dxa"/>
            </w:tcMar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602000" cy="2543976"/>
                  <wp:docPr id="8" name="Picture 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enois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2000" cy="254397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350"/>
            <w:tcMar>
              <w:top w:w="170" w:type="dxa"/>
              <w:start w:w="170" w:type="dxa"/>
              <w:bottom w:w="170" w:type="dxa"/>
              <w:end w:w="170" w:type="dxa"/>
            </w:tcMar>
            <w:vAlign w:val="center"/>
            <w:shd w:fill="FCFAF7"/>
          </w:tcPr>
          <w:p>
            <w:pPr>
              <w:spacing w:after="100"/>
            </w:pPr>
            <w:r>
              <w:rPr>
                <w:rFonts w:ascii="Georgia" w:hAnsi="Georgia"/>
                <w:b/>
                <w:color w:val="9A4A35"/>
                <w:sz w:val="34"/>
              </w:rPr>
              <w:t>Benois-Madonna</w:t>
            </w:r>
          </w:p>
          <w:p>
            <w:pPr>
              <w:spacing w:after="100" w:line="288" w:lineRule="auto"/>
            </w:pPr>
            <w:r>
              <w:rPr>
                <w:rFonts w:ascii="Aptos" w:hAnsi="Aptos"/>
                <w:b/>
                <w:color w:val="2D241F"/>
                <w:sz w:val="26"/>
              </w:rPr>
              <w:t xml:space="preserve">Möglicher Erwartungshorizont: </w:t>
            </w:r>
            <w:r>
              <w:rPr>
                <w:rFonts w:ascii="Aptos" w:hAnsi="Aptos"/>
                <w:color w:val="2D241F"/>
                <w:sz w:val="26"/>
              </w:rPr>
              <w:t>Spiel, Bewegung, Blume, Lichtführung und intime Mutter-Kind-Beziehung.</w:t>
            </w:r>
          </w:p>
          <w:p>
            <w:pPr>
              <w:spacing w:after="100" w:line="288" w:lineRule="auto"/>
            </w:pPr>
            <w:r>
              <w:rPr>
                <w:rFonts w:ascii="Aptos" w:hAnsi="Aptos"/>
                <w:b/>
                <w:color w:val="2D241F"/>
                <w:sz w:val="26"/>
              </w:rPr>
              <w:t xml:space="preserve">Hinweis für die Moderation: </w:t>
            </w:r>
            <w:r>
              <w:rPr>
                <w:rFonts w:ascii="Aptos" w:hAnsi="Aptos"/>
                <w:color w:val="2D241F"/>
                <w:sz w:val="26"/>
              </w:rPr>
              <w:t>Nicht jede Deutung muss bestätigt werden. Entscheidend ist, ob sie am Bild begründet und als Deutung kenntlich gemacht wird.</w:t>
            </w:r>
          </w:p>
        </w:tc>
      </w:tr>
    </w:tbl>
    <w:p>
      <w:pPr>
        <w:spacing w:after="40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color="D9C6B7"/>
          <w:left w:val="single" w:sz="8" w:color="D9C6B7"/>
          <w:bottom w:val="single" w:sz="8" w:color="D9C6B7"/>
          <w:right w:val="single" w:sz="8" w:color="D9C6B7"/>
          <w:insideH w:val="single" w:sz="8" w:color="D9C6B7"/>
          <w:insideV w:val="single" w:sz="8" w:color="D9C6B7"/>
        </w:tblBorders>
      </w:tblPr>
      <w:tblGrid>
        <w:gridCol w:w="5043"/>
        <w:gridCol w:w="5043"/>
      </w:tblGrid>
      <w:tr>
        <w:tc>
          <w:tcPr>
            <w:tcW w:type="dxa" w:w="2948"/>
            <w:tcMar>
              <w:top w:w="170" w:type="dxa"/>
              <w:start w:w="170" w:type="dxa"/>
              <w:bottom w:w="170" w:type="dxa"/>
              <w:end w:w="170" w:type="dxa"/>
            </w:tcMar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602000" cy="1281600"/>
                  <wp:docPr id="9" name="Picture 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eonardo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2000" cy="1281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350"/>
            <w:tcMar>
              <w:top w:w="170" w:type="dxa"/>
              <w:start w:w="170" w:type="dxa"/>
              <w:bottom w:w="170" w:type="dxa"/>
              <w:end w:w="170" w:type="dxa"/>
            </w:tcMar>
            <w:vAlign w:val="center"/>
            <w:shd w:fill="FCFAF7"/>
          </w:tcPr>
          <w:p>
            <w:pPr>
              <w:spacing w:after="100"/>
            </w:pPr>
            <w:r>
              <w:rPr>
                <w:rFonts w:ascii="Georgia" w:hAnsi="Georgia"/>
                <w:b/>
                <w:color w:val="9A4A35"/>
                <w:sz w:val="34"/>
              </w:rPr>
              <w:t>Leonardo</w:t>
            </w:r>
          </w:p>
          <w:p>
            <w:pPr>
              <w:spacing w:after="100" w:line="288" w:lineRule="auto"/>
            </w:pPr>
            <w:r>
              <w:rPr>
                <w:rFonts w:ascii="Aptos" w:hAnsi="Aptos"/>
                <w:b/>
                <w:color w:val="2D241F"/>
                <w:sz w:val="26"/>
              </w:rPr>
              <w:t xml:space="preserve">Möglicher Erwartungshorizont: </w:t>
            </w:r>
            <w:r>
              <w:rPr>
                <w:rFonts w:ascii="Aptos" w:hAnsi="Aptos"/>
                <w:color w:val="2D241F"/>
                <w:sz w:val="26"/>
              </w:rPr>
              <w:t>Beobachtung, Komposition, Werkstatt, Zuschreibung und Geniekult.</w:t>
            </w:r>
          </w:p>
          <w:p>
            <w:pPr>
              <w:spacing w:after="100" w:line="288" w:lineRule="auto"/>
            </w:pPr>
            <w:r>
              <w:rPr>
                <w:rFonts w:ascii="Aptos" w:hAnsi="Aptos"/>
                <w:b/>
                <w:color w:val="2D241F"/>
                <w:sz w:val="26"/>
              </w:rPr>
              <w:t xml:space="preserve">Hinweis für die Moderation: </w:t>
            </w:r>
            <w:r>
              <w:rPr>
                <w:rFonts w:ascii="Aptos" w:hAnsi="Aptos"/>
                <w:color w:val="2D241F"/>
                <w:sz w:val="26"/>
              </w:rPr>
              <w:t>Leonardo soll fachlich einordnen, aber nicht jede andere Stimme übertrumpfen.</w:t>
            </w:r>
          </w:p>
        </w:tc>
      </w:tr>
    </w:tbl>
    <w:p>
      <w:pPr>
        <w:spacing w:after="40"/>
      </w:pPr>
    </w:p>
    <w:p>
      <w:pPr>
        <w:pStyle w:val="Heading1"/>
      </w:pPr>
      <w:r>
        <w:t>Bewertungsraster (10 Punkte)</w:t>
      </w:r>
    </w:p>
    <w:p>
      <w:pPr>
        <w:pStyle w:val="ListBullet"/>
        <w:spacing w:after="100"/>
        <w:ind w:left="312"/>
      </w:pPr>
      <w:r>
        <w:t>3 Punkte: genaue Bildbeobachtungen</w:t>
      </w:r>
    </w:p>
    <w:p>
      <w:pPr>
        <w:pStyle w:val="ListBullet"/>
        <w:spacing w:after="100"/>
        <w:ind w:left="312"/>
      </w:pPr>
      <w:r>
        <w:t>2 Punkte: nachvollziehbare Deutung</w:t>
      </w:r>
    </w:p>
    <w:p>
      <w:pPr>
        <w:pStyle w:val="ListBullet"/>
        <w:spacing w:after="100"/>
        <w:ind w:left="312"/>
      </w:pPr>
      <w:r>
        <w:t>2 Punkte: klare Trennung von Fakt, Deutung und Erfindung</w:t>
      </w:r>
    </w:p>
    <w:p>
      <w:pPr>
        <w:pStyle w:val="ListBullet"/>
        <w:spacing w:after="100"/>
        <w:ind w:left="312"/>
      </w:pPr>
      <w:r>
        <w:t>2 Punkte: eigenständiger Perspektivwechsel</w:t>
      </w:r>
    </w:p>
    <w:p>
      <w:pPr>
        <w:pStyle w:val="ListBullet"/>
        <w:spacing w:after="100"/>
        <w:ind w:left="312"/>
      </w:pPr>
      <w:r>
        <w:t>1 Punkt: sprachliche Klarheit und respektvoller Humor</w:t>
      </w:r>
    </w:p>
    <w:p>
      <w:pPr>
        <w:pStyle w:val="Heading1"/>
      </w:pPr>
      <w:r>
        <w:t>Abschlussdiskussion</w:t>
      </w:r>
    </w:p>
    <w:p>
      <w:r>
        <w:t>Leitfrage: Ist die erfundene Stimme eine Verfälschung – oder eine Methode, genauer zu sehen? Gute Antworten benennen Chancen und Grenzen: Sie öffnet Perspektiven, ersetzt aber keine historische Quelle.</w:t>
      </w:r>
    </w:p>
    <w:sectPr w:rsidR="00FC693F" w:rsidRPr="0006063C" w:rsidSect="00034616">
      <w:footerReference w:type="default" r:id="rId9"/>
      <w:pgSz w:w="12240" w:h="15840"/>
      <w:pgMar w:top="964" w:right="1077" w:bottom="102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B514A"/>
        <w:sz w:val="16"/>
      </w:rPr>
      <w:t>© 2026 Susanne Albers · SMS – Susanne macht Schule · www.susannealbers.de/schule/</w:t>
      <w:br/>
      <w:t>Kostenlose Nutzung für Unterricht und private Bildungszwecke. Keine kommerzielle Weiterverbreitung oder Veröffentlichung ohne Zustimmung von Susanne Albers.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93" w:lineRule="auto"/>
    </w:pPr>
    <w:rPr>
      <w:rFonts w:ascii="Aptos" w:hAnsi="Aptos"/>
      <w:color w:val="2D241F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/>
      <w:b/>
      <w:bCs/>
      <w:color w:val="9A4A35"/>
      <w:sz w:val="3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Georgia" w:hAnsi="Georgia"/>
      <w:b/>
      <w:bCs/>
      <w:color w:val="9A4A35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color w:val="2D241F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ptos" w:hAnsi="Aptos"/>
      <w:i/>
      <w:iCs/>
      <w:color w:val="5B514A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