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Aptos" w:hAnsi="Aptos"/>
          <w:b/>
          <w:color w:val="9A4A35"/>
          <w:sz w:val="20"/>
        </w:rPr>
        <w:t>SMS – SUSANNE MACHT SCHULE</w:t>
      </w:r>
    </w:p>
    <w:p>
      <w:pPr>
        <w:pStyle w:val="Title"/>
        <w:jc w:val="center"/>
      </w:pPr>
      <w:r>
        <w:t>Leonardo: Die Frauen übernehmen die Stunde</w:t>
      </w:r>
    </w:p>
    <w:p>
      <w:pPr>
        <w:pStyle w:val="Subtitle"/>
        <w:spacing w:after="280"/>
        <w:jc w:val="center"/>
      </w:pPr>
      <w:r>
        <w:t>Lehrerhandreichung für 45 oder 90 Minuten und ein Projekt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8" w:color="D9C6B7"/>
          <w:left w:val="single" w:sz="8" w:color="D9C6B7"/>
          <w:bottom w:val="single" w:sz="8" w:color="D9C6B7"/>
          <w:right w:val="single" w:sz="8" w:color="D9C6B7"/>
          <w:insideH w:val="single" w:sz="8" w:color="D9C6B7"/>
          <w:insideV w:val="single" w:sz="8" w:color="D9C6B7"/>
        </w:tblBorders>
      </w:tblPr>
      <w:tblGrid>
        <w:gridCol w:w="10086"/>
      </w:tblGrid>
      <w:tr>
        <w:tc>
          <w:tcPr>
            <w:tcW w:type="dxa" w:w="10086"/>
            <w:shd w:fill="F4EEE4"/>
            <w:tcMar>
              <w:top w:w="180" w:type="dxa"/>
              <w:start w:w="200" w:type="dxa"/>
              <w:bottom w:w="180" w:type="dxa"/>
              <w:end w:w="200" w:type="dxa"/>
            </w:tcMar>
          </w:tcPr>
          <w:p>
            <w:r>
              <w:rPr>
                <w:rFonts w:ascii="Aptos" w:hAnsi="Aptos"/>
                <w:b/>
                <w:color w:val="9A4A35"/>
                <w:sz w:val="26"/>
              </w:rPr>
              <w:t>Leitidee</w:t>
              <w:br/>
            </w:r>
            <w:r>
              <w:rPr>
                <w:rFonts w:ascii="Aptos" w:hAnsi="Aptos"/>
                <w:color w:val="2D241F"/>
                <w:sz w:val="26"/>
              </w:rPr>
              <w:t>Nicht zuerst Geniekult, Jahreszahlen und Erfindungen. Die Frauenporträts sprechen zurück, stellen Fragen und zwingen dazu, Beobachtung, Deutung und Erfindung auseinanderzuhalten.</w:t>
            </w:r>
          </w:p>
        </w:tc>
      </w:tr>
    </w:tbl>
    <w:p/>
    <w:p>
      <w:pPr>
        <w:pStyle w:val="Heading1"/>
      </w:pPr>
      <w:r>
        <w:t>1. Überblick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8" w:color="D9C6B7"/>
          <w:left w:val="single" w:sz="8" w:color="D9C6B7"/>
          <w:bottom w:val="single" w:sz="8" w:color="D9C6B7"/>
          <w:right w:val="single" w:sz="8" w:color="D9C6B7"/>
          <w:insideH w:val="single" w:sz="8" w:color="D9C6B7"/>
          <w:insideV w:val="single" w:sz="8" w:color="D9C6B7"/>
        </w:tblBorders>
      </w:tblPr>
      <w:tblGrid>
        <w:gridCol w:w="5043"/>
        <w:gridCol w:w="5043"/>
      </w:tblGrid>
      <w:tr>
        <w:tc>
          <w:tcPr>
            <w:tcW w:type="dxa" w:w="2381"/>
            <w:shd w:fill="F4EEE4"/>
            <w:tcMar>
              <w:top w:w="150" w:type="dxa"/>
              <w:start w:w="170" w:type="dxa"/>
              <w:bottom w:w="150" w:type="dxa"/>
              <w:end w:w="170" w:type="dxa"/>
            </w:tcMar>
            <w:vAlign w:val="center"/>
          </w:tcPr>
          <w:p>
            <w:r>
              <w:rPr>
                <w:rFonts w:ascii="Aptos" w:hAnsi="Aptos"/>
                <w:b/>
                <w:color w:val="9A4A35"/>
                <w:sz w:val="26"/>
              </w:rPr>
              <w:t>Geeignete Fächer</w:t>
            </w:r>
          </w:p>
        </w:tc>
        <w:tc>
          <w:tcPr>
            <w:tcW w:type="dxa" w:w="6803"/>
            <w:tcMar>
              <w:top w:w="150" w:type="dxa"/>
              <w:start w:w="170" w:type="dxa"/>
              <w:bottom w:w="150" w:type="dxa"/>
              <w:end w:w="170" w:type="dxa"/>
            </w:tcMar>
            <w:vAlign w:val="center"/>
          </w:tcPr>
          <w:p>
            <w:r>
              <w:rPr>
                <w:rFonts w:ascii="Aptos" w:hAnsi="Aptos"/>
                <w:color w:val="2D241F"/>
                <w:sz w:val="26"/>
              </w:rPr>
              <w:t>Kunst, Geschichte, Deutsch, Ethik, Medienbildung</w:t>
            </w:r>
          </w:p>
        </w:tc>
      </w:tr>
      <w:tr>
        <w:tc>
          <w:tcPr>
            <w:tcW w:type="dxa" w:w="2381"/>
            <w:shd w:fill="F4EEE4"/>
            <w:tcMar>
              <w:top w:w="150" w:type="dxa"/>
              <w:start w:w="170" w:type="dxa"/>
              <w:bottom w:w="150" w:type="dxa"/>
              <w:end w:w="170" w:type="dxa"/>
            </w:tcMar>
            <w:vAlign w:val="center"/>
          </w:tcPr>
          <w:p>
            <w:r>
              <w:rPr>
                <w:rFonts w:ascii="Aptos" w:hAnsi="Aptos"/>
                <w:b/>
                <w:color w:val="9A4A35"/>
                <w:sz w:val="26"/>
              </w:rPr>
              <w:t>Zielgruppe</w:t>
            </w:r>
          </w:p>
        </w:tc>
        <w:tc>
          <w:tcPr>
            <w:tcW w:type="dxa" w:w="6803"/>
            <w:tcMar>
              <w:top w:w="150" w:type="dxa"/>
              <w:start w:w="170" w:type="dxa"/>
              <w:bottom w:w="150" w:type="dxa"/>
              <w:end w:w="170" w:type="dxa"/>
            </w:tcMar>
            <w:vAlign w:val="center"/>
          </w:tcPr>
          <w:p>
            <w:r>
              <w:rPr>
                <w:rFonts w:ascii="Aptos" w:hAnsi="Aptos"/>
                <w:color w:val="2D241F"/>
                <w:sz w:val="26"/>
              </w:rPr>
              <w:t>ab Klasse 7; auch für Erwachsenenbildung geeignet</w:t>
            </w:r>
          </w:p>
        </w:tc>
      </w:tr>
      <w:tr>
        <w:tc>
          <w:tcPr>
            <w:tcW w:type="dxa" w:w="2381"/>
            <w:shd w:fill="F4EEE4"/>
            <w:tcMar>
              <w:top w:w="150" w:type="dxa"/>
              <w:start w:w="170" w:type="dxa"/>
              <w:bottom w:w="150" w:type="dxa"/>
              <w:end w:w="170" w:type="dxa"/>
            </w:tcMar>
            <w:vAlign w:val="center"/>
          </w:tcPr>
          <w:p>
            <w:r>
              <w:rPr>
                <w:rFonts w:ascii="Aptos" w:hAnsi="Aptos"/>
                <w:b/>
                <w:color w:val="9A4A35"/>
                <w:sz w:val="26"/>
              </w:rPr>
              <w:t>Zeit</w:t>
            </w:r>
          </w:p>
        </w:tc>
        <w:tc>
          <w:tcPr>
            <w:tcW w:type="dxa" w:w="6803"/>
            <w:tcMar>
              <w:top w:w="150" w:type="dxa"/>
              <w:start w:w="170" w:type="dxa"/>
              <w:bottom w:w="150" w:type="dxa"/>
              <w:end w:w="170" w:type="dxa"/>
            </w:tcMar>
            <w:vAlign w:val="center"/>
          </w:tcPr>
          <w:p>
            <w:r>
              <w:rPr>
                <w:rFonts w:ascii="Aptos" w:hAnsi="Aptos"/>
                <w:color w:val="2D241F"/>
                <w:sz w:val="26"/>
              </w:rPr>
              <w:t>45 Minuten, 90 Minuten oder Projektarbeit</w:t>
            </w:r>
          </w:p>
        </w:tc>
      </w:tr>
      <w:tr>
        <w:tc>
          <w:tcPr>
            <w:tcW w:type="dxa" w:w="2381"/>
            <w:shd w:fill="F4EEE4"/>
            <w:tcMar>
              <w:top w:w="150" w:type="dxa"/>
              <w:start w:w="170" w:type="dxa"/>
              <w:bottom w:w="150" w:type="dxa"/>
              <w:end w:w="170" w:type="dxa"/>
            </w:tcMar>
            <w:vAlign w:val="center"/>
          </w:tcPr>
          <w:p>
            <w:r>
              <w:rPr>
                <w:rFonts w:ascii="Aptos" w:hAnsi="Aptos"/>
                <w:b/>
                <w:color w:val="9A4A35"/>
                <w:sz w:val="26"/>
              </w:rPr>
              <w:t>Voraussetzungen</w:t>
            </w:r>
          </w:p>
        </w:tc>
        <w:tc>
          <w:tcPr>
            <w:tcW w:type="dxa" w:w="6803"/>
            <w:tcMar>
              <w:top w:w="150" w:type="dxa"/>
              <w:start w:w="170" w:type="dxa"/>
              <w:bottom w:w="150" w:type="dxa"/>
              <w:end w:w="170" w:type="dxa"/>
            </w:tcMar>
            <w:vAlign w:val="center"/>
          </w:tcPr>
          <w:p>
            <w:r>
              <w:rPr>
                <w:rFonts w:ascii="Aptos" w:hAnsi="Aptos"/>
                <w:color w:val="2D241F"/>
                <w:sz w:val="26"/>
              </w:rPr>
              <w:t>Beamer oder Ausdrucke; Internetzugang ist hilfreich, aber nicht zwingend</w:t>
            </w:r>
          </w:p>
        </w:tc>
      </w:tr>
      <w:tr>
        <w:tc>
          <w:tcPr>
            <w:tcW w:type="dxa" w:w="2381"/>
            <w:shd w:fill="F4EEE4"/>
            <w:tcMar>
              <w:top w:w="150" w:type="dxa"/>
              <w:start w:w="170" w:type="dxa"/>
              <w:bottom w:w="150" w:type="dxa"/>
              <w:end w:w="170" w:type="dxa"/>
            </w:tcMar>
            <w:vAlign w:val="center"/>
          </w:tcPr>
          <w:p>
            <w:r>
              <w:rPr>
                <w:rFonts w:ascii="Aptos" w:hAnsi="Aptos"/>
                <w:b/>
                <w:color w:val="9A4A35"/>
                <w:sz w:val="26"/>
              </w:rPr>
              <w:t>Originalprojekt</w:t>
            </w:r>
          </w:p>
        </w:tc>
        <w:tc>
          <w:tcPr>
            <w:tcW w:type="dxa" w:w="6803"/>
            <w:tcMar>
              <w:top w:w="150" w:type="dxa"/>
              <w:start w:w="170" w:type="dxa"/>
              <w:bottom w:w="150" w:type="dxa"/>
              <w:end w:w="170" w:type="dxa"/>
            </w:tcMar>
            <w:vAlign w:val="center"/>
          </w:tcPr>
          <w:p>
            <w:r>
              <w:rPr>
                <w:rFonts w:ascii="Aptos" w:hAnsi="Aptos"/>
                <w:color w:val="2D241F"/>
                <w:sz w:val="26"/>
              </w:rPr>
              <w:t>www.susannealbers.de/leonardo/</w:t>
            </w:r>
          </w:p>
        </w:tc>
      </w:tr>
      <w:tr>
        <w:tc>
          <w:tcPr>
            <w:tcW w:type="dxa" w:w="2381"/>
            <w:shd w:fill="F4EEE4"/>
            <w:tcMar>
              <w:top w:w="150" w:type="dxa"/>
              <w:start w:w="170" w:type="dxa"/>
              <w:bottom w:w="150" w:type="dxa"/>
              <w:end w:w="170" w:type="dxa"/>
            </w:tcMar>
            <w:vAlign w:val="center"/>
          </w:tcPr>
          <w:p>
            <w:r>
              <w:rPr>
                <w:rFonts w:ascii="Aptos" w:hAnsi="Aptos"/>
                <w:b/>
                <w:color w:val="9A4A35"/>
                <w:sz w:val="26"/>
              </w:rPr>
              <w:t>Unterrichtswelt</w:t>
            </w:r>
          </w:p>
        </w:tc>
        <w:tc>
          <w:tcPr>
            <w:tcW w:type="dxa" w:w="6803"/>
            <w:tcMar>
              <w:top w:w="150" w:type="dxa"/>
              <w:start w:w="170" w:type="dxa"/>
              <w:bottom w:w="150" w:type="dxa"/>
              <w:end w:w="170" w:type="dxa"/>
            </w:tcMar>
            <w:vAlign w:val="center"/>
          </w:tcPr>
          <w:p>
            <w:r>
              <w:rPr>
                <w:rFonts w:ascii="Aptos" w:hAnsi="Aptos"/>
                <w:color w:val="2D241F"/>
                <w:sz w:val="26"/>
              </w:rPr>
              <w:t>www.susannealbers.de/schule/leonardo/</w:t>
            </w:r>
          </w:p>
        </w:tc>
      </w:tr>
    </w:tbl>
    <w:p/>
    <w:p>
      <w:pPr>
        <w:pStyle w:val="Heading1"/>
      </w:pPr>
      <w:r>
        <w:t>2. Lernziele</w:t>
      </w:r>
    </w:p>
    <w:p>
      <w:pPr>
        <w:pStyle w:val="ListBullet"/>
        <w:spacing w:after="100"/>
        <w:ind w:left="312"/>
      </w:pPr>
      <w:r>
        <w:t>ein Porträt präzise beschreiben, bevor es gedeutet wird</w:t>
      </w:r>
    </w:p>
    <w:p>
      <w:pPr>
        <w:pStyle w:val="ListBullet"/>
        <w:spacing w:after="100"/>
        <w:ind w:left="312"/>
      </w:pPr>
      <w:r>
        <w:t>Bildtitel, Symbolik und historische Information kritisch prüfen</w:t>
      </w:r>
    </w:p>
    <w:p>
      <w:pPr>
        <w:pStyle w:val="ListBullet"/>
        <w:spacing w:after="100"/>
        <w:ind w:left="312"/>
      </w:pPr>
      <w:r>
        <w:t>zwischen belegter Tatsache, Interpretation und künstlerischer Erfindung unterscheiden</w:t>
      </w:r>
    </w:p>
    <w:p>
      <w:pPr>
        <w:pStyle w:val="ListBullet"/>
        <w:spacing w:after="100"/>
        <w:ind w:left="312"/>
      </w:pPr>
      <w:r>
        <w:t>Perspektivwechsel als Methode der Bildanalyse einsetzen</w:t>
      </w:r>
    </w:p>
    <w:p>
      <w:pPr>
        <w:pStyle w:val="ListBullet"/>
        <w:spacing w:after="100"/>
        <w:ind w:left="312"/>
      </w:pPr>
      <w:r>
        <w:t>erkennen, wie Kunstgeschichte Stimmen hervorhebt oder zum Schweigen bringt</w:t>
      </w:r>
    </w:p>
    <w:p>
      <w:pPr>
        <w:pStyle w:val="Heading1"/>
      </w:pPr>
      <w:r>
        <w:t>3. Ablauf – 45 Minuten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8" w:color="D9C6B7"/>
          <w:left w:val="single" w:sz="8" w:color="D9C6B7"/>
          <w:bottom w:val="single" w:sz="8" w:color="D9C6B7"/>
          <w:right w:val="single" w:sz="8" w:color="D9C6B7"/>
          <w:insideH w:val="single" w:sz="8" w:color="D9C6B7"/>
          <w:insideV w:val="single" w:sz="8" w:color="D9C6B7"/>
        </w:tblBorders>
      </w:tblPr>
      <w:tblGrid>
        <w:gridCol w:w="5043"/>
        <w:gridCol w:w="5043"/>
      </w:tblGrid>
      <w:tr>
        <w:tc>
          <w:tcPr>
            <w:tcW w:type="dxa" w:w="2381"/>
            <w:shd w:fill="F4EEE4"/>
            <w:tcMar>
              <w:top w:w="150" w:type="dxa"/>
              <w:start w:w="170" w:type="dxa"/>
              <w:bottom w:w="150" w:type="dxa"/>
              <w:end w:w="170" w:type="dxa"/>
            </w:tcMar>
            <w:vAlign w:val="center"/>
          </w:tcPr>
          <w:p>
            <w:r>
              <w:rPr>
                <w:rFonts w:ascii="Aptos" w:hAnsi="Aptos"/>
                <w:b/>
                <w:color w:val="9A4A35"/>
                <w:sz w:val="26"/>
              </w:rPr>
              <w:t>0–5 Min.</w:t>
            </w:r>
          </w:p>
        </w:tc>
        <w:tc>
          <w:tcPr>
            <w:tcW w:type="dxa" w:w="6803"/>
            <w:tcMar>
              <w:top w:w="150" w:type="dxa"/>
              <w:start w:w="170" w:type="dxa"/>
              <w:bottom w:w="150" w:type="dxa"/>
              <w:end w:w="170" w:type="dxa"/>
            </w:tcMar>
            <w:vAlign w:val="center"/>
          </w:tcPr>
          <w:p>
            <w:r>
              <w:rPr>
                <w:rFonts w:ascii="Aptos" w:hAnsi="Aptos"/>
                <w:color w:val="2D241F"/>
                <w:sz w:val="26"/>
              </w:rPr>
              <w:t>Porträt ohne Titel zeigen. Nur Beobachtungen sammeln.</w:t>
            </w:r>
          </w:p>
        </w:tc>
      </w:tr>
      <w:tr>
        <w:tc>
          <w:tcPr>
            <w:tcW w:type="dxa" w:w="2381"/>
            <w:shd w:fill="F4EEE4"/>
            <w:tcMar>
              <w:top w:w="150" w:type="dxa"/>
              <w:start w:w="170" w:type="dxa"/>
              <w:bottom w:w="150" w:type="dxa"/>
              <w:end w:w="170" w:type="dxa"/>
            </w:tcMar>
            <w:vAlign w:val="center"/>
          </w:tcPr>
          <w:p>
            <w:r>
              <w:rPr>
                <w:rFonts w:ascii="Aptos" w:hAnsi="Aptos"/>
                <w:b/>
                <w:color w:val="9A4A35"/>
                <w:sz w:val="26"/>
              </w:rPr>
              <w:t>5–12 Min.</w:t>
            </w:r>
          </w:p>
        </w:tc>
        <w:tc>
          <w:tcPr>
            <w:tcW w:type="dxa" w:w="6803"/>
            <w:tcMar>
              <w:top w:w="150" w:type="dxa"/>
              <w:start w:w="170" w:type="dxa"/>
              <w:bottom w:w="150" w:type="dxa"/>
              <w:end w:w="170" w:type="dxa"/>
            </w:tcMar>
            <w:vAlign w:val="center"/>
          </w:tcPr>
          <w:p>
            <w:r>
              <w:rPr>
                <w:rFonts w:ascii="Aptos" w:hAnsi="Aptos"/>
                <w:color w:val="2D241F"/>
                <w:sz w:val="26"/>
              </w:rPr>
              <w:t>Die Frage stellen: „Was würde diese Frau über ihr Bild sagen?“</w:t>
            </w:r>
          </w:p>
        </w:tc>
      </w:tr>
      <w:tr>
        <w:tc>
          <w:tcPr>
            <w:tcW w:type="dxa" w:w="2381"/>
            <w:shd w:fill="F4EEE4"/>
            <w:tcMar>
              <w:top w:w="150" w:type="dxa"/>
              <w:start w:w="170" w:type="dxa"/>
              <w:bottom w:w="150" w:type="dxa"/>
              <w:end w:w="170" w:type="dxa"/>
            </w:tcMar>
            <w:vAlign w:val="center"/>
          </w:tcPr>
          <w:p>
            <w:r>
              <w:rPr>
                <w:rFonts w:ascii="Aptos" w:hAnsi="Aptos"/>
                <w:b/>
                <w:color w:val="9A4A35"/>
                <w:sz w:val="26"/>
              </w:rPr>
              <w:t>12–22 Min.</w:t>
            </w:r>
          </w:p>
        </w:tc>
        <w:tc>
          <w:tcPr>
            <w:tcW w:type="dxa" w:w="6803"/>
            <w:tcMar>
              <w:top w:w="150" w:type="dxa"/>
              <w:start w:w="170" w:type="dxa"/>
              <w:bottom w:w="150" w:type="dxa"/>
              <w:end w:w="170" w:type="dxa"/>
            </w:tcMar>
            <w:vAlign w:val="center"/>
          </w:tcPr>
          <w:p>
            <w:r>
              <w:rPr>
                <w:rFonts w:ascii="Aptos" w:hAnsi="Aptos"/>
                <w:color w:val="2D241F"/>
                <w:sz w:val="26"/>
              </w:rPr>
              <w:t>Arbeitsblatt Teil A bearbeiten: Beobachtung und Deutung trennen.</w:t>
            </w:r>
          </w:p>
        </w:tc>
      </w:tr>
      <w:tr>
        <w:tc>
          <w:tcPr>
            <w:tcW w:type="dxa" w:w="2381"/>
            <w:shd w:fill="F4EEE4"/>
            <w:tcMar>
              <w:top w:w="150" w:type="dxa"/>
              <w:start w:w="170" w:type="dxa"/>
              <w:bottom w:w="150" w:type="dxa"/>
              <w:end w:w="170" w:type="dxa"/>
            </w:tcMar>
            <w:vAlign w:val="center"/>
          </w:tcPr>
          <w:p>
            <w:r>
              <w:rPr>
                <w:rFonts w:ascii="Aptos" w:hAnsi="Aptos"/>
                <w:b/>
                <w:color w:val="9A4A35"/>
                <w:sz w:val="26"/>
              </w:rPr>
              <w:t>22–32 Min.</w:t>
            </w:r>
          </w:p>
        </w:tc>
        <w:tc>
          <w:tcPr>
            <w:tcW w:type="dxa" w:w="6803"/>
            <w:tcMar>
              <w:top w:w="150" w:type="dxa"/>
              <w:start w:w="170" w:type="dxa"/>
              <w:bottom w:w="150" w:type="dxa"/>
              <w:end w:w="170" w:type="dxa"/>
            </w:tcMar>
            <w:vAlign w:val="center"/>
          </w:tcPr>
          <w:p>
            <w:r>
              <w:rPr>
                <w:rFonts w:ascii="Aptos" w:hAnsi="Aptos"/>
                <w:color w:val="2D241F"/>
                <w:sz w:val="26"/>
              </w:rPr>
              <w:t>Eine kurze Ich-Stimme schreiben und vorlesen.</w:t>
            </w:r>
          </w:p>
        </w:tc>
      </w:tr>
      <w:tr>
        <w:tc>
          <w:tcPr>
            <w:tcW w:type="dxa" w:w="2381"/>
            <w:shd w:fill="F4EEE4"/>
            <w:tcMar>
              <w:top w:w="150" w:type="dxa"/>
              <w:start w:w="170" w:type="dxa"/>
              <w:bottom w:w="150" w:type="dxa"/>
              <w:end w:w="170" w:type="dxa"/>
            </w:tcMar>
            <w:vAlign w:val="center"/>
          </w:tcPr>
          <w:p>
            <w:r>
              <w:rPr>
                <w:rFonts w:ascii="Aptos" w:hAnsi="Aptos"/>
                <w:b/>
                <w:color w:val="9A4A35"/>
                <w:sz w:val="26"/>
              </w:rPr>
              <w:t>32–40 Min.</w:t>
            </w:r>
          </w:p>
        </w:tc>
        <w:tc>
          <w:tcPr>
            <w:tcW w:type="dxa" w:w="6803"/>
            <w:tcMar>
              <w:top w:w="150" w:type="dxa"/>
              <w:start w:w="170" w:type="dxa"/>
              <w:bottom w:w="150" w:type="dxa"/>
              <w:end w:w="170" w:type="dxa"/>
            </w:tcMar>
            <w:vAlign w:val="center"/>
          </w:tcPr>
          <w:p>
            <w:r>
              <w:rPr>
                <w:rFonts w:ascii="Aptos" w:hAnsi="Aptos"/>
                <w:color w:val="2D241F"/>
                <w:sz w:val="26"/>
              </w:rPr>
              <w:t>Historische Informationen ergänzen; Aussagen als Fakt, Deutung oder Erfindung markieren.</w:t>
            </w:r>
          </w:p>
        </w:tc>
      </w:tr>
      <w:tr>
        <w:tc>
          <w:tcPr>
            <w:tcW w:type="dxa" w:w="2381"/>
            <w:shd w:fill="F4EEE4"/>
            <w:tcMar>
              <w:top w:w="150" w:type="dxa"/>
              <w:start w:w="170" w:type="dxa"/>
              <w:bottom w:w="150" w:type="dxa"/>
              <w:end w:w="170" w:type="dxa"/>
            </w:tcMar>
            <w:vAlign w:val="center"/>
          </w:tcPr>
          <w:p>
            <w:r>
              <w:rPr>
                <w:rFonts w:ascii="Aptos" w:hAnsi="Aptos"/>
                <w:b/>
                <w:color w:val="9A4A35"/>
                <w:sz w:val="26"/>
              </w:rPr>
              <w:t>40–45 Min.</w:t>
            </w:r>
          </w:p>
        </w:tc>
        <w:tc>
          <w:tcPr>
            <w:tcW w:type="dxa" w:w="6803"/>
            <w:tcMar>
              <w:top w:w="150" w:type="dxa"/>
              <w:start w:w="170" w:type="dxa"/>
              <w:bottom w:w="150" w:type="dxa"/>
              <w:end w:w="170" w:type="dxa"/>
            </w:tcMar>
            <w:vAlign w:val="center"/>
          </w:tcPr>
          <w:p>
            <w:r>
              <w:rPr>
                <w:rFonts w:ascii="Aptos" w:hAnsi="Aptos"/>
                <w:color w:val="2D241F"/>
                <w:sz w:val="26"/>
              </w:rPr>
              <w:t>Abschlussfrage: „Was verändert sich, wenn ein Bild zurückspricht?“</w:t>
            </w:r>
          </w:p>
        </w:tc>
      </w:tr>
    </w:tbl>
    <w:p/>
    <w:p>
      <w:pPr>
        <w:pStyle w:val="Heading1"/>
      </w:pPr>
      <w:r>
        <w:t>4. Ablauf – 90 Minuten: Die Frauenredaktion</w:t>
      </w:r>
    </w:p>
    <w:p>
      <w:pPr>
        <w:pStyle w:val="ListNumber"/>
      </w:pPr>
      <w:r>
        <w:t>Gruppen übernehmen Mona Lisa, Cecilia Gallerani, Ginevra de’ Benci, eine Madonna oder Leonardo.</w:t>
      </w:r>
    </w:p>
    <w:p>
      <w:pPr>
        <w:pStyle w:val="ListNumber"/>
      </w:pPr>
      <w:r>
        <w:t>Jede Gruppe beschreibt ihr Bild und formuliert drei Gegenfragen.</w:t>
      </w:r>
    </w:p>
    <w:p>
      <w:pPr>
        <w:pStyle w:val="ListNumber"/>
      </w:pPr>
      <w:r>
        <w:t>Die Gruppen schreiben einen kurzen Dialog.</w:t>
      </w:r>
    </w:p>
    <w:p>
      <w:pPr>
        <w:pStyle w:val="ListNumber"/>
      </w:pPr>
      <w:r>
        <w:t>Die Dialoge werden vorgelesen oder gespielt.</w:t>
      </w:r>
    </w:p>
    <w:p>
      <w:pPr>
        <w:pStyle w:val="ListNumber"/>
      </w:pPr>
      <w:r>
        <w:t>Danach wird jede Aussage markiert: belegt, Interpretation oder bewusst erfunden.</w:t>
      </w:r>
    </w:p>
    <w:p>
      <w:pPr>
        <w:pStyle w:val="ListNumber"/>
      </w:pPr>
      <w:r>
        <w:t>Abschluss: Welche Stimme hat die übliche Kunstgeschichte – und welche fehlt?</w:t>
      </w:r>
    </w:p>
    <w:p>
      <w:pPr>
        <w:pStyle w:val="Heading1"/>
      </w:pPr>
      <w:r>
        <w:t>5. Differenzierung</w:t>
      </w:r>
    </w:p>
    <w:p>
      <w:r>
        <w:t>Leichter: Satzanfänge und Wortbank aus dem Arbeitsblatt verwenden. Anspruchsvoller: Quellenangaben ergänzen, Bildtitelgeschichte untersuchen oder die Rolle des Auftraggebers einbeziehen.</w:t>
      </w:r>
    </w:p>
    <w:p>
      <w:pPr>
        <w:pStyle w:val="Heading1"/>
      </w:pPr>
      <w:r>
        <w:t>6. Sensible Moderation</w:t>
      </w:r>
    </w:p>
    <w:p>
      <w:r>
        <w:t>Die erfundenen Stimmen sind keine historischen Zitate. Sie müssen als künstlerische Methode kenntlich bleiben. Humor darf öffnen, aber nicht die dargestellten Personen verspotten.</w:t>
      </w:r>
    </w:p>
    <w:p>
      <w:pPr>
        <w:pStyle w:val="Heading1"/>
      </w:pPr>
      <w:r>
        <w:t>7. Materialübersicht</w:t>
      </w:r>
    </w:p>
    <w:p>
      <w:pPr>
        <w:pStyle w:val="ListBullet"/>
        <w:spacing w:after="100"/>
        <w:ind w:left="312"/>
      </w:pPr>
      <w:r>
        <w:t>Arbeitsblatt: Ein Bild spricht zurück</w:t>
      </w:r>
    </w:p>
    <w:p>
      <w:pPr>
        <w:pStyle w:val="ListBullet"/>
        <w:spacing w:after="100"/>
        <w:ind w:left="312"/>
      </w:pPr>
      <w:r>
        <w:t>Rollenkarten: Frauenredaktion</w:t>
      </w:r>
    </w:p>
    <w:p>
      <w:pPr>
        <w:pStyle w:val="ListBullet"/>
        <w:spacing w:after="100"/>
        <w:ind w:left="312"/>
      </w:pPr>
      <w:r>
        <w:t>Lösungshinweise und Erwartungshorizont</w:t>
      </w:r>
    </w:p>
    <w:p>
      <w:pPr>
        <w:pStyle w:val="ListBullet"/>
        <w:spacing w:after="100"/>
        <w:ind w:left="312"/>
      </w:pPr>
      <w:r>
        <w:t>Präsentation für den Unterricht</w:t>
      </w:r>
    </w:p>
    <w:sectPr w:rsidR="00FC693F" w:rsidRPr="0006063C" w:rsidSect="00034616">
      <w:footerReference w:type="default" r:id="rId9"/>
      <w:pgSz w:w="12240" w:h="15840"/>
      <w:pgMar w:top="964" w:right="1077" w:bottom="1020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color w:val="5B514A"/>
        <w:sz w:val="16"/>
      </w:rPr>
      <w:t>© 2026 Susanne Albers · SMS – Susanne macht Schule · www.susannealbers.de/schule/</w:t>
      <w:br/>
      <w:t>Kostenlose Nutzung für Unterricht und private Bildungszwecke. Keine kommerzielle Weiterverbreitung oder Veröffentlichung ohne Zustimmung von Susanne Albers.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293" w:lineRule="auto"/>
    </w:pPr>
    <w:rPr>
      <w:rFonts w:ascii="Aptos" w:hAnsi="Aptos"/>
      <w:color w:val="2D241F"/>
      <w:sz w:val="2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Georgia" w:hAnsi="Georgia"/>
      <w:b/>
      <w:bCs/>
      <w:color w:val="9A4A35"/>
      <w:sz w:val="3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Georgia" w:hAnsi="Georgia"/>
      <w:b/>
      <w:bCs/>
      <w:color w:val="9A4A35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Georgia" w:hAnsi="Georgia"/>
      <w:color w:val="2D241F"/>
      <w:spacing w:val="5"/>
      <w:kern w:val="28"/>
      <w:sz w:val="5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Aptos" w:hAnsi="Aptos"/>
      <w:i/>
      <w:iCs/>
      <w:color w:val="5B514A"/>
      <w:spacing w:val="15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