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5221E"/>
          <w:sz w:val="54"/>
        </w:rPr>
        <w:t>Lehrerhandreichung</w:t>
      </w:r>
    </w:p>
    <w:p>
      <w:pPr>
        <w:jc w:val="center"/>
      </w:pPr>
      <w:r>
        <w:rPr>
          <w:b/>
          <w:color w:val="B08A50"/>
          <w:sz w:val="22"/>
        </w:rPr>
        <w:t>Namen gegen das Vergessen · Holocaust-Gedenken im Berliner Samariterviertel</w:t>
      </w:r>
    </w:p>
    <w:tbl>
      <w:tblPr>
        <w:tblW w:type="auto" w:w="0"/>
        <w:jc w:val="center"/>
        <w:tblLook w:firstColumn="1" w:firstRow="1" w:lastColumn="0" w:lastRow="0" w:noHBand="0" w:noVBand="1" w:val="04A0"/>
      </w:tblPr>
      <w:tblGrid>
        <w:gridCol w:w="10080"/>
      </w:tblGrid>
      <w:tr>
        <w:tc>
          <w:tcPr>
            <w:tcW w:type="dxa" w:w="10080"/>
            <w:shd w:fill="FFF6E6"/>
          </w:tcPr>
          <w:p>
            <w:r>
              <w:rPr>
                <w:b/>
                <w:color w:val="7B3E34"/>
              </w:rPr>
              <w:t xml:space="preserve">Leitgedanke: </w:t>
            </w:r>
            <w:r>
              <w:t>Erinnern heißt, Menschen nicht in einer Zahl verschwinden zu lassen.</w:t>
            </w:r>
          </w:p>
        </w:tc>
      </w:tr>
    </w:tbl>
    <w:p/>
    <w:p>
      <w:pPr>
        <w:pStyle w:val="Heading1"/>
      </w:pPr>
      <w:r>
        <w:t>Didaktische Haltung</w:t>
      </w:r>
    </w:p>
    <w:p>
      <w:r>
        <w:t>Die Einheit arbeitet lokal, biografisch und quellenbewusst. Im Mittelpunkt stehen Menschen, die im Berliner Samariterviertel lebten. Ihre Namen und überlieferten Daten werden weder als bloßer Lernstoff noch als emotionale Kulisse behandelt.</w:t>
      </w:r>
    </w:p>
    <w:p>
      <w:pPr>
        <w:pStyle w:val="ListBullet"/>
      </w:pPr>
      <w:r>
        <w:t>still statt überwältigend</w:t>
      </w:r>
    </w:p>
    <w:p>
      <w:pPr>
        <w:pStyle w:val="ListBullet"/>
      </w:pPr>
      <w:r>
        <w:t>genau statt dramatisierend</w:t>
      </w:r>
    </w:p>
    <w:p>
      <w:pPr>
        <w:pStyle w:val="ListBullet"/>
      </w:pPr>
      <w:r>
        <w:t>menschlich statt anonymisierend</w:t>
      </w:r>
    </w:p>
    <w:p>
      <w:pPr>
        <w:pStyle w:val="ListBullet"/>
      </w:pPr>
      <w:r>
        <w:t>verantwortlich statt ungeprüft</w:t>
      </w:r>
    </w:p>
    <w:p>
      <w:pPr>
        <w:pStyle w:val="Heading1"/>
      </w:pPr>
      <w:r>
        <w:t>Lernziele</w:t>
      </w:r>
    </w:p>
    <w:p>
      <w:pPr>
        <w:pStyle w:val="ListBullet"/>
      </w:pPr>
      <w:r>
        <w:t>lokale Geschichte mit konkreten Namen und Adressen verbinden</w:t>
      </w:r>
    </w:p>
    <w:p>
      <w:pPr>
        <w:pStyle w:val="ListBullet"/>
      </w:pPr>
      <w:r>
        <w:t>gesicherte Angaben, offene Fragen und erfundene Ergänzungen unterscheiden</w:t>
      </w:r>
    </w:p>
    <w:p>
      <w:pPr>
        <w:pStyle w:val="ListBullet"/>
      </w:pPr>
      <w:r>
        <w:t>Gedenklieder als heutige künstlerische Form einordnen</w:t>
      </w:r>
    </w:p>
    <w:p>
      <w:pPr>
        <w:pStyle w:val="ListBullet"/>
      </w:pPr>
      <w:r>
        <w:t>Architektur des Stelenfelds beobachten und Deutungen kennzeichnen</w:t>
      </w:r>
    </w:p>
    <w:p>
      <w:pPr>
        <w:pStyle w:val="ListBullet"/>
      </w:pPr>
      <w:r>
        <w:t>entmenschlichende Sprache erkennen und die Verantwortung von Erinnerung diskutieren</w:t>
      </w:r>
    </w:p>
    <w:p>
      <w:pPr>
        <w:pStyle w:val="Heading1"/>
      </w:pPr>
      <w:r>
        <w:t>Vorschlag für 90 Minuten</w:t>
      </w:r>
    </w:p>
    <w:tbl>
      <w:tblPr>
        <w:tblW w:type="auto" w:w="0"/>
        <w:jc w:val="center"/>
        <w:tblLook w:firstColumn="1" w:firstRow="1" w:lastColumn="0" w:lastRow="0" w:noHBand="0" w:noVBand="1" w:val="04A0"/>
      </w:tblPr>
      <w:tblGrid>
        <w:gridCol w:w="2520"/>
        <w:gridCol w:w="2520"/>
        <w:gridCol w:w="2520"/>
        <w:gridCol w:w="2520"/>
      </w:tblGrid>
      <w:tr>
        <w:tc>
          <w:tcPr>
            <w:tcW w:type="dxa" w:w="2520"/>
            <w:shd w:fill="25221E"/>
          </w:tcPr>
          <w:p>
            <w:r>
              <w:t>Zeit</w:t>
            </w:r>
          </w:p>
        </w:tc>
        <w:tc>
          <w:tcPr>
            <w:tcW w:type="dxa" w:w="2520"/>
            <w:shd w:fill="25221E"/>
          </w:tcPr>
          <w:p>
            <w:r>
              <w:t>Phase</w:t>
            </w:r>
          </w:p>
        </w:tc>
        <w:tc>
          <w:tcPr>
            <w:tcW w:type="dxa" w:w="2520"/>
            <w:shd w:fill="25221E"/>
          </w:tcPr>
          <w:p>
            <w:r>
              <w:t>Ablauf</w:t>
            </w:r>
          </w:p>
        </w:tc>
        <w:tc>
          <w:tcPr>
            <w:tcW w:type="dxa" w:w="2520"/>
            <w:shd w:fill="25221E"/>
          </w:tcPr>
          <w:p>
            <w:r>
              <w:t>Material</w:t>
            </w:r>
          </w:p>
        </w:tc>
      </w:tr>
      <w:tr>
        <w:tc>
          <w:tcPr>
            <w:tcW w:type="dxa" w:w="2520"/>
          </w:tcPr>
          <w:p>
            <w:r>
              <w:t>10 Min.</w:t>
            </w:r>
          </w:p>
        </w:tc>
        <w:tc>
          <w:tcPr>
            <w:tcW w:type="dxa" w:w="2520"/>
          </w:tcPr>
          <w:p>
            <w:r>
              <w:t>Ankommen</w:t>
            </w:r>
          </w:p>
        </w:tc>
        <w:tc>
          <w:tcPr>
            <w:tcW w:type="dxa" w:w="2520"/>
          </w:tcPr>
          <w:p>
            <w:r>
              <w:t>Foto des Stelenfelds still betrachten; zunächst nur beschreiben.</w:t>
            </w:r>
          </w:p>
        </w:tc>
        <w:tc>
          <w:tcPr>
            <w:tcW w:type="dxa" w:w="2520"/>
          </w:tcPr>
          <w:p>
            <w:r>
              <w:t>Foto</w:t>
            </w:r>
          </w:p>
        </w:tc>
      </w:tr>
      <w:tr>
        <w:tc>
          <w:tcPr>
            <w:tcW w:type="dxa" w:w="2520"/>
          </w:tcPr>
          <w:p>
            <w:r>
              <w:t>20 Min.</w:t>
            </w:r>
          </w:p>
        </w:tc>
        <w:tc>
          <w:tcPr>
            <w:tcW w:type="dxa" w:w="2520"/>
          </w:tcPr>
          <w:p>
            <w:r>
              <w:t>Ein Name</w:t>
            </w:r>
          </w:p>
        </w:tc>
        <w:tc>
          <w:tcPr>
            <w:tcW w:type="dxa" w:w="2520"/>
          </w:tcPr>
          <w:p>
            <w:r>
              <w:t>Eine Person auswählen; gesicherte Angaben und Lücken markieren.</w:t>
            </w:r>
          </w:p>
        </w:tc>
        <w:tc>
          <w:tcPr>
            <w:tcW w:type="dxa" w:w="2520"/>
          </w:tcPr>
          <w:p>
            <w:r>
              <w:t>Dokumentation</w:t>
            </w:r>
          </w:p>
        </w:tc>
      </w:tr>
      <w:tr>
        <w:tc>
          <w:tcPr>
            <w:tcW w:type="dxa" w:w="2520"/>
          </w:tcPr>
          <w:p>
            <w:r>
              <w:t>15 Min.</w:t>
            </w:r>
          </w:p>
        </w:tc>
        <w:tc>
          <w:tcPr>
            <w:tcW w:type="dxa" w:w="2520"/>
          </w:tcPr>
          <w:p>
            <w:r>
              <w:t>Ort</w:t>
            </w:r>
          </w:p>
        </w:tc>
        <w:tc>
          <w:tcPr>
            <w:tcW w:type="dxa" w:w="2520"/>
          </w:tcPr>
          <w:p>
            <w:r>
              <w:t>Frühere Adresse auf heutiger Karte suchen; lokale Nähe besprechen.</w:t>
            </w:r>
          </w:p>
        </w:tc>
        <w:tc>
          <w:tcPr>
            <w:tcW w:type="dxa" w:w="2520"/>
          </w:tcPr>
          <w:p>
            <w:r>
              <w:t>Karte</w:t>
            </w:r>
          </w:p>
        </w:tc>
      </w:tr>
      <w:tr>
        <w:tc>
          <w:tcPr>
            <w:tcW w:type="dxa" w:w="2520"/>
          </w:tcPr>
          <w:p>
            <w:r>
              <w:t>15 Min.</w:t>
            </w:r>
          </w:p>
        </w:tc>
        <w:tc>
          <w:tcPr>
            <w:tcW w:type="dxa" w:w="2520"/>
          </w:tcPr>
          <w:p>
            <w:r>
              <w:t>Gedenklied</w:t>
            </w:r>
          </w:p>
        </w:tc>
        <w:tc>
          <w:tcPr>
            <w:tcW w:type="dxa" w:w="2520"/>
          </w:tcPr>
          <w:p>
            <w:r>
              <w:t>Ein Lied hören; Wirkung und Quellenstatus unterscheiden.</w:t>
            </w:r>
          </w:p>
        </w:tc>
        <w:tc>
          <w:tcPr>
            <w:tcW w:type="dxa" w:w="2520"/>
          </w:tcPr>
          <w:p>
            <w:r>
              <w:t>Playlist</w:t>
            </w:r>
          </w:p>
        </w:tc>
      </w:tr>
      <w:tr>
        <w:tc>
          <w:tcPr>
            <w:tcW w:type="dxa" w:w="2520"/>
          </w:tcPr>
          <w:p>
            <w:r>
              <w:t>20 Min.</w:t>
            </w:r>
          </w:p>
        </w:tc>
        <w:tc>
          <w:tcPr>
            <w:tcW w:type="dxa" w:w="2520"/>
          </w:tcPr>
          <w:p>
            <w:r>
              <w:t>Architektur</w:t>
            </w:r>
          </w:p>
        </w:tc>
        <w:tc>
          <w:tcPr>
            <w:tcW w:type="dxa" w:w="2520"/>
          </w:tcPr>
          <w:p>
            <w:r>
              <w:t>Beobachtung, persönliche Wirkung und historische Information trennen.</w:t>
            </w:r>
          </w:p>
        </w:tc>
        <w:tc>
          <w:tcPr>
            <w:tcW w:type="dxa" w:w="2520"/>
          </w:tcPr>
          <w:p>
            <w:r>
              <w:t>Fotos / Seite</w:t>
            </w:r>
          </w:p>
        </w:tc>
      </w:tr>
      <w:tr>
        <w:tc>
          <w:tcPr>
            <w:tcW w:type="dxa" w:w="2520"/>
          </w:tcPr>
          <w:p>
            <w:r>
              <w:t>10 Min.</w:t>
            </w:r>
          </w:p>
        </w:tc>
        <w:tc>
          <w:tcPr>
            <w:tcW w:type="dxa" w:w="2520"/>
          </w:tcPr>
          <w:p>
            <w:r>
              <w:t>Abschluss</w:t>
            </w:r>
          </w:p>
        </w:tc>
        <w:tc>
          <w:tcPr>
            <w:tcW w:type="dxa" w:w="2520"/>
          </w:tcPr>
          <w:p>
            <w:r>
              <w:t>Ein sachlicher Erinnerungssatz oder stille Schreibminute.</w:t>
            </w:r>
          </w:p>
        </w:tc>
        <w:tc>
          <w:tcPr>
            <w:tcW w:type="dxa" w:w="2520"/>
          </w:tcPr>
          <w:p>
            <w:r>
              <w:t>Arbeitsblatt</w:t>
            </w:r>
          </w:p>
        </w:tc>
      </w:tr>
    </w:tbl>
    <w:p>
      <w:pPr>
        <w:pStyle w:val="Heading1"/>
      </w:pPr>
      <w:r>
        <w:t>Rettungsschirm</w:t>
      </w:r>
    </w:p>
    <w:p>
      <w:r>
        <w:rPr>
          <w:b/>
          <w:color w:val="7B3E34"/>
        </w:rPr>
        <w:t>Dürfen Lernende Gefühle der Opfer formulieren?</w:t>
      </w:r>
    </w:p>
    <w:p>
      <w:r>
        <w:t>Nein. Eigene Reaktionen dürfen benannt werden; den Verfolgten werden keine erfundenen Gedanken, letzten Worte oder Gefühle zugeschrieben.</w:t>
      </w:r>
    </w:p>
    <w:p>
      <w:r>
        <w:rPr>
          <w:b/>
          <w:color w:val="7B3E34"/>
        </w:rPr>
        <w:t>Warum Musik?</w:t>
      </w:r>
    </w:p>
    <w:p>
      <w:r>
        <w:t>Musik kann Aufmerksamkeit und Zeit für einen Namen schaffen. Sie ist als heutige künstlerische Form von Susanne Albers zu kennzeichnen, nicht als historische Quelle.</w:t>
      </w:r>
    </w:p>
    <w:p>
      <w:r>
        <w:rPr>
          <w:b/>
          <w:color w:val="7B3E34"/>
        </w:rPr>
        <w:t>Warum keine Täterrede ohne Einordnung?</w:t>
      </w:r>
    </w:p>
    <w:p>
      <w:r>
        <w:t>Täterpropaganda reproduziert Entmenschlichung. Sie braucht Kontext, ein klares Lernziel, sprachliche Analyse und eine Nachbereitung.</w:t>
      </w:r>
    </w:p>
    <w:p>
      <w:r>
        <w:rPr>
          <w:b/>
          <w:color w:val="7B3E34"/>
        </w:rPr>
        <w:t>Was tun bei starker emotionaler Reaktion?</w:t>
      </w:r>
    </w:p>
    <w:p>
      <w:r>
        <w:t>Nicht drängen. Stille, eine Pause, ein schriftlicher Rückblick oder ein Gesprächsangebot können angemessen sein.</w:t>
      </w:r>
    </w:p>
    <w:p>
      <w:r>
        <w:rPr>
          <w:b/>
          <w:color w:val="7B3E34"/>
        </w:rPr>
        <w:t>Was bedeutet „verschollen“?</w:t>
      </w:r>
    </w:p>
    <w:p>
      <w:r>
        <w:t>Dass das weitere Schicksal in der verwendeten Dokumentation nicht eindeutig geklärt ist. Diese Unsicherheit bleibt sichtbar.</w:t>
      </w:r>
    </w:p>
    <w:p>
      <w:pPr>
        <w:pStyle w:val="Heading1"/>
      </w:pPr>
      <w:r>
        <w:t>Quellen und Grenzen</w:t>
      </w:r>
    </w:p>
    <w:p>
      <w:r>
        <w:t>Grundlage der namentlichen Angaben ist die von Susanne Albers bereitgestellte Dokumentation nach einem Buch zum Samariterviertel. Für wissenschaftliche Veröffentlichungen und weitergehende Biografien sollten Angaben zusätzlich mit Archiven und offiziellen Gedenkbüchern abgeglichen werden. Die Fotos des Stelenfelds sind eigene Aufnahmen von Susanne Albers.</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25B52"/>
        <w:sz w:val="16"/>
      </w:rPr>
      <w:t>www.susannealbers.de/schule/holocaust/ · © Susanne Albers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color w:val="25221E"/>
        <w:sz w:val="18"/>
      </w:rPr>
      <w:t>SMS · Susanne macht Schule  |  Wissen darf lebendig sein.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2623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25221E"/>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7B3E34"/>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B08A5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25221E"/>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