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2F3F2B"/>
          <w:sz w:val="54"/>
        </w:rPr>
        <w:t>Lösungshinweise: Der Eid des Hippokrates</w:t>
      </w:r>
    </w:p>
    <w:p>
      <w:pPr>
        <w:jc w:val="center"/>
      </w:pPr>
      <w:r>
        <w:rPr>
          <w:b/>
          <w:color w:val="526544"/>
          <w:sz w:val="22"/>
        </w:rPr>
        <w:t>Erwartungshorizont und Gesprächshilfen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504"/>
      </w:tblGrid>
      <w:tr>
        <w:tc>
          <w:tcPr>
            <w:tcW w:type="dxa" w:w="10166"/>
            <w:shd w:fill="526544"/>
          </w:tcPr>
          <w:p/>
        </w:tc>
      </w:tr>
    </w:tbl>
    <w:p/>
    <w:p>
      <w:pPr>
        <w:pStyle w:val="Heading1"/>
      </w:pPr>
      <w:r>
        <w:t>Zum Arbeitsblatt</w:t>
      </w:r>
    </w:p>
    <w:p>
      <w:r>
        <w:rPr>
          <w:b/>
          <w:color w:val="526544"/>
        </w:rPr>
        <w:t xml:space="preserve">Nutzen der Kranken: </w:t>
      </w:r>
      <w:r>
        <w:t>Behandlung soll dem Wohlergehen der Kranken dienen, nicht dem Vorteil des Behandelnden.</w:t>
      </w:r>
    </w:p>
    <w:p>
      <w:r>
        <w:rPr>
          <w:b/>
          <w:color w:val="526544"/>
        </w:rPr>
        <w:t xml:space="preserve">Schutz vor Schaden: </w:t>
      </w:r>
      <w:r>
        <w:t>Der Text fordert, Kranke vor Schaden und willkürlichem Unrecht zu bewahren.</w:t>
      </w:r>
    </w:p>
    <w:p>
      <w:r>
        <w:rPr>
          <w:b/>
          <w:color w:val="526544"/>
        </w:rPr>
        <w:t xml:space="preserve">Schweigepflicht: </w:t>
      </w:r>
      <w:r>
        <w:t>Vertrauliche Informationen sollen nicht ausgeplaudert werden; Vertrauen ist Grundlage der Behandlung.</w:t>
      </w:r>
    </w:p>
    <w:p>
      <w:r>
        <w:rPr>
          <w:b/>
          <w:color w:val="526544"/>
        </w:rPr>
        <w:t xml:space="preserve">Fachliche Grenze: </w:t>
      </w:r>
      <w:r>
        <w:t>Die Blasensteinoperation soll spezialisierten Personen überlassen werden. Der Text erkennt Grenzen eigener Zuständigkeit an.</w:t>
      </w:r>
    </w:p>
    <w:p>
      <w:pPr>
        <w:pStyle w:val="Heading1"/>
      </w:pPr>
      <w:r>
        <w:t>Mögliche Drei-Ebenen-Ordnung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526544"/>
          </w:tcPr>
          <w:p>
            <w:r>
              <w:rPr>
                <w:b/>
                <w:color w:val="FFFFFF"/>
              </w:rPr>
              <w:t>Ebene</w:t>
            </w:r>
          </w:p>
        </w:tc>
        <w:tc>
          <w:tcPr>
            <w:tcW w:type="dxa" w:w="5083"/>
            <w:shd w:fill="526544"/>
          </w:tcPr>
          <w:p>
            <w:r>
              <w:rPr>
                <w:b/>
                <w:color w:val="FFFFFF"/>
              </w:rPr>
              <w:t>Beispiel</w:t>
            </w:r>
          </w:p>
        </w:tc>
      </w:tr>
      <w:tr>
        <w:tc>
          <w:tcPr>
            <w:tcW w:type="dxa" w:w="5083"/>
          </w:tcPr>
          <w:p>
            <w:r>
              <w:t>Im Text sichtbar</w:t>
            </w:r>
          </w:p>
        </w:tc>
        <w:tc>
          <w:tcPr>
            <w:tcW w:type="dxa" w:w="5083"/>
          </w:tcPr>
          <w:p>
            <w:r>
              <w:t>Schweigepflicht; Nutzen der Kranken; Schutz vor Missbrauch; fachliche Grenzen.</w:t>
            </w:r>
          </w:p>
        </w:tc>
      </w:tr>
      <w:tr>
        <w:tc>
          <w:tcPr>
            <w:tcW w:type="dxa" w:w="5083"/>
          </w:tcPr>
          <w:p>
            <w:r>
              <w:t>Historisch einzuordnen</w:t>
            </w:r>
          </w:p>
        </w:tc>
        <w:tc>
          <w:tcPr>
            <w:tcW w:type="dxa" w:w="5083"/>
          </w:tcPr>
          <w:p>
            <w:r>
              <w:t>Anrufung antiker Gottheiten; Lehrer-Schüler-Verhältnis; einzelne Verbote und damalige Berufsstrukturen.</w:t>
            </w:r>
          </w:p>
        </w:tc>
      </w:tr>
      <w:tr>
        <w:tc>
          <w:tcPr>
            <w:tcW w:type="dxa" w:w="5083"/>
          </w:tcPr>
          <w:p>
            <w:r>
              <w:t>Heutige Deutung</w:t>
            </w:r>
          </w:p>
        </w:tc>
        <w:tc>
          <w:tcPr>
            <w:tcW w:type="dxa" w:w="5083"/>
          </w:tcPr>
          <w:p>
            <w:r>
              <w:t>Verantwortung, informierte Zustimmung, Respekt, Schutz der Privatsphäre, gerechter Zugang zu Behandlung.</w:t>
            </w:r>
          </w:p>
        </w:tc>
      </w:tr>
    </w:tbl>
    <w:p>
      <w:pPr>
        <w:pStyle w:val="Heading1"/>
      </w:pPr>
      <w:r>
        <w:t>Zum fiktiven Gespräch</w:t>
      </w:r>
    </w:p>
    <w:p>
      <w:pPr>
        <w:pStyle w:val="ListBullet"/>
      </w:pPr>
      <w:r>
        <w:t>Wissen und Mitgefühl werden als Ergänzung dargestellt.</w:t>
      </w:r>
    </w:p>
    <w:p>
      <w:pPr>
        <w:pStyle w:val="ListBullet"/>
      </w:pPr>
      <w:r>
        <w:t>Der Patient erscheint als ganzer Mensch, nicht nur als zu reparierender Körper.</w:t>
      </w:r>
    </w:p>
    <w:p>
      <w:pPr>
        <w:pStyle w:val="ListBullet"/>
      </w:pPr>
      <w:r>
        <w:t>Das Gespräch ergänzt den Eid um ausdrücklich spirituelle Aussagen wie „das Göttliche in jedem Menschen“. Diese Aussagen stehen nicht im historischen Eid.</w:t>
      </w:r>
    </w:p>
    <w:p>
      <w:pPr>
        <w:pStyle w:val="ListBullet"/>
      </w:pPr>
      <w:r>
        <w:t>Kritische Frage: Kann die Forderung nach Selbstlosigkeit auch zur Überforderung von Heilenden führen? Professionelle Grenzen gehören ebenfalls zur Verantwortung.</w:t>
      </w:r>
    </w:p>
    <w:p>
      <w:pPr>
        <w:pStyle w:val="Heading1"/>
      </w:pPr>
      <w:r>
        <w:t>Bewertungsraster für die Selbstverpflichtung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526544"/>
          </w:tcPr>
          <w:p>
            <w:r>
              <w:rPr>
                <w:b/>
                <w:color w:val="FFFFFF"/>
              </w:rPr>
              <w:t>Kriterium</w:t>
            </w:r>
          </w:p>
        </w:tc>
        <w:tc>
          <w:tcPr>
            <w:tcW w:type="dxa" w:w="3389"/>
            <w:shd w:fill="526544"/>
          </w:tcPr>
          <w:p>
            <w:r>
              <w:rPr>
                <w:b/>
                <w:color w:val="FFFFFF"/>
              </w:rPr>
              <w:t>2 Punkte</w:t>
            </w:r>
          </w:p>
        </w:tc>
        <w:tc>
          <w:tcPr>
            <w:tcW w:type="dxa" w:w="3389"/>
            <w:shd w:fill="526544"/>
          </w:tcPr>
          <w:p>
            <w:r>
              <w:rPr>
                <w:b/>
                <w:color w:val="FFFFFF"/>
              </w:rPr>
              <w:t>1 Punkt</w:t>
            </w:r>
          </w:p>
        </w:tc>
      </w:tr>
      <w:tr>
        <w:tc>
          <w:tcPr>
            <w:tcW w:type="dxa" w:w="3389"/>
          </w:tcPr>
          <w:p>
            <w:r>
              <w:t>Klarheit</w:t>
            </w:r>
          </w:p>
        </w:tc>
        <w:tc>
          <w:tcPr>
            <w:tcW w:type="dxa" w:w="3389"/>
          </w:tcPr>
          <w:p>
            <w:r>
              <w:t>konkret und verständlich</w:t>
            </w:r>
          </w:p>
        </w:tc>
        <w:tc>
          <w:tcPr>
            <w:tcW w:type="dxa" w:w="3389"/>
          </w:tcPr>
          <w:p>
            <w:r>
              <w:t>teilweise allgemein</w:t>
            </w:r>
          </w:p>
        </w:tc>
      </w:tr>
      <w:tr>
        <w:tc>
          <w:tcPr>
            <w:tcW w:type="dxa" w:w="3389"/>
          </w:tcPr>
          <w:p>
            <w:r>
              <w:t>Begründung</w:t>
            </w:r>
          </w:p>
        </w:tc>
        <w:tc>
          <w:tcPr>
            <w:tcW w:type="dxa" w:w="3389"/>
          </w:tcPr>
          <w:p>
            <w:r>
              <w:t>ethischer Gedanke erkennbar</w:t>
            </w:r>
          </w:p>
        </w:tc>
        <w:tc>
          <w:tcPr>
            <w:tcW w:type="dxa" w:w="3389"/>
          </w:tcPr>
          <w:p>
            <w:r>
              <w:t>Gedanke nur angedeutet</w:t>
            </w:r>
          </w:p>
        </w:tc>
      </w:tr>
      <w:tr>
        <w:tc>
          <w:tcPr>
            <w:tcW w:type="dxa" w:w="3389"/>
          </w:tcPr>
          <w:p>
            <w:r>
              <w:t>Bezug</w:t>
            </w:r>
          </w:p>
        </w:tc>
        <w:tc>
          <w:tcPr>
            <w:tcW w:type="dxa" w:w="3389"/>
          </w:tcPr>
          <w:p>
            <w:r>
              <w:t>Vertrauen/Schutz/Verantwortung deutlich</w:t>
            </w:r>
          </w:p>
        </w:tc>
        <w:tc>
          <w:tcPr>
            <w:tcW w:type="dxa" w:w="3389"/>
          </w:tcPr>
          <w:p>
            <w:r>
              <w:t>Bezug teilweise vorhanden</w:t>
            </w:r>
          </w:p>
        </w:tc>
      </w:tr>
      <w:tr>
        <w:tc>
          <w:tcPr>
            <w:tcW w:type="dxa" w:w="3389"/>
          </w:tcPr>
          <w:p>
            <w:r>
              <w:t>Eigenständigkeit</w:t>
            </w:r>
          </w:p>
        </w:tc>
        <w:tc>
          <w:tcPr>
            <w:tcW w:type="dxa" w:w="3389"/>
          </w:tcPr>
          <w:p>
            <w:r>
              <w:t>eigene Formulierung</w:t>
            </w:r>
          </w:p>
        </w:tc>
        <w:tc>
          <w:tcPr>
            <w:tcW w:type="dxa" w:w="3389"/>
          </w:tcPr>
          <w:p>
            <w:r>
              <w:t>stark am Beispiel orientiert</w:t>
            </w:r>
          </w:p>
        </w:tc>
      </w:tr>
    </w:tbl>
    <w:p>
      <w:pPr>
        <w:pStyle w:val="Heading1"/>
      </w:pPr>
      <w:r>
        <w:t>Gesprächsregel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3E8C9"/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r>
              <w:rPr>
                <w:rFonts w:ascii="Georgia" w:hAnsi="Georgia"/>
                <w:b/>
                <w:color w:val="2F3F2B"/>
                <w:sz w:val="24"/>
              </w:rPr>
              <w:t>Keine Zwangsposition</w:t>
              <w:br/>
            </w:r>
            <w:r>
              <w:rPr>
                <w:sz w:val="21"/>
              </w:rPr>
              <w:t>Bei kontroversen Fragen werden Argumente geprüft. Niemand muss persönliche medizinische Erfahrungen oder private Überzeugungen offenlegen.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864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A665C"/>
        <w:sz w:val="15"/>
      </w:rPr>
      <w:t>© 2026 Susanne Albers · kostenlos für Unterricht und private Bildungszwecke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526544"/>
        <w:sz w:val="16"/>
      </w:rPr>
      <w:t>SMS · Susanne macht Schule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4251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526544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2F3F2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Georgia" w:hAnsi="Georgia"/>
      <w:b/>
      <w:bCs/>
      <w:color w:val="526544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2F3F2B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